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Calibri" w:hAnsi="Calibri" w:cs="Times New Roman"/>
          <w:b/>
          <w:sz w:val="32"/>
          <w:szCs w:val="21"/>
        </w:rPr>
      </w:pPr>
      <w:r>
        <w:rPr>
          <w:rFonts w:hint="eastAsia" w:ascii="Calibri" w:hAnsi="Calibri"/>
          <w:b/>
          <w:sz w:val="32"/>
          <w:szCs w:val="21"/>
        </w:rPr>
        <w:t>卷（带）钢货物托运保函</w:t>
      </w:r>
    </w:p>
    <w:p>
      <w:pPr>
        <w:rPr>
          <w:rFonts w:ascii="Calibri" w:hAnsi="Calibri" w:cs="宋体"/>
          <w:color w:val="000000"/>
          <w:sz w:val="32"/>
          <w:szCs w:val="21"/>
        </w:rPr>
      </w:pPr>
      <w:r>
        <w:rPr>
          <w:rFonts w:hint="eastAsia" w:ascii="Calibri" w:hAnsi="Calibri" w:cs="宋体"/>
          <w:color w:val="000000"/>
          <w:sz w:val="32"/>
          <w:szCs w:val="21"/>
        </w:rPr>
        <w:t>致上海泛亚航运有限公司/泛亚电商</w:t>
      </w:r>
    </w:p>
    <w:p>
      <w:pPr>
        <w:pStyle w:val="7"/>
        <w:rPr>
          <w:rFonts w:ascii="Calibri" w:hAnsi="Calibri" w:cs="Times New Roman"/>
          <w:sz w:val="32"/>
          <w:szCs w:val="21"/>
        </w:rPr>
      </w:pPr>
      <w:r>
        <w:rPr>
          <w:rFonts w:hint="eastAsia" w:ascii="Calibri" w:hAnsi="Calibri"/>
          <w:sz w:val="32"/>
          <w:szCs w:val="21"/>
        </w:rPr>
        <w:t>箱型：</w:t>
      </w:r>
    </w:p>
    <w:p>
      <w:pPr>
        <w:pStyle w:val="7"/>
        <w:rPr>
          <w:rFonts w:ascii="Calibri" w:hAnsi="Calibri" w:cs="Times New Roman"/>
          <w:sz w:val="32"/>
          <w:szCs w:val="21"/>
        </w:rPr>
      </w:pPr>
      <w:r>
        <w:rPr>
          <w:rFonts w:hint="eastAsia" w:ascii="Calibri" w:hAnsi="Calibri"/>
          <w:sz w:val="32"/>
          <w:szCs w:val="21"/>
        </w:rPr>
        <w:t>货名：</w:t>
      </w:r>
    </w:p>
    <w:p>
      <w:pPr>
        <w:pStyle w:val="7"/>
        <w:rPr>
          <w:rFonts w:ascii="Calibri" w:hAnsi="Calibri" w:cs="Times New Roman"/>
          <w:sz w:val="32"/>
          <w:szCs w:val="21"/>
        </w:rPr>
      </w:pPr>
    </w:p>
    <w:p>
      <w:pPr>
        <w:pStyle w:val="7"/>
        <w:ind w:firstLine="640" w:firstLineChars="200"/>
        <w:rPr>
          <w:rFonts w:ascii="Calibri" w:hAnsi="Calibri"/>
          <w:sz w:val="32"/>
          <w:szCs w:val="21"/>
        </w:rPr>
      </w:pPr>
      <w:r>
        <w:rPr>
          <w:rFonts w:hint="eastAsia" w:ascii="Calibri" w:hAnsi="Calibri"/>
          <w:sz w:val="32"/>
          <w:szCs w:val="21"/>
        </w:rPr>
        <w:t>本保函由盖章单位联合向贵司提供，以下盖章单位均为保函提供人，且就本保函承诺事项及保证内容向贵司承担连带责任。</w:t>
      </w:r>
    </w:p>
    <w:p>
      <w:pPr>
        <w:pStyle w:val="7"/>
        <w:rPr>
          <w:rFonts w:ascii="Calibri" w:hAnsi="Calibri" w:cs="Times New Roman"/>
          <w:sz w:val="32"/>
          <w:szCs w:val="21"/>
        </w:rPr>
      </w:pPr>
    </w:p>
    <w:p>
      <w:pPr>
        <w:pStyle w:val="7"/>
        <w:rPr>
          <w:rFonts w:ascii="Calibri" w:hAnsi="Calibri" w:cs="Times New Roman" w:eastAsiaTheme="minorEastAsia"/>
          <w:color w:val="auto"/>
          <w:kern w:val="2"/>
          <w:sz w:val="32"/>
          <w:szCs w:val="21"/>
        </w:rPr>
      </w:pPr>
      <w:r>
        <w:rPr>
          <w:rFonts w:hint="eastAsia" w:ascii="Calibri" w:hAnsi="Calibri" w:cs="Times New Roman" w:eastAsiaTheme="minorEastAsia"/>
          <w:color w:val="auto"/>
          <w:kern w:val="2"/>
          <w:sz w:val="32"/>
          <w:szCs w:val="21"/>
        </w:rPr>
        <w:t>就以上所托运的卷（带）钢货物</w:t>
      </w:r>
      <w:r>
        <w:rPr>
          <w:rFonts w:ascii="Calibri" w:hAnsi="Calibri" w:cs="Times New Roman" w:eastAsiaTheme="minorEastAsia"/>
          <w:color w:val="auto"/>
          <w:kern w:val="2"/>
          <w:sz w:val="32"/>
          <w:szCs w:val="21"/>
        </w:rPr>
        <w:t>，</w:t>
      </w:r>
      <w:r>
        <w:rPr>
          <w:rFonts w:hint="eastAsia" w:ascii="Calibri" w:hAnsi="Calibri"/>
          <w:sz w:val="32"/>
          <w:szCs w:val="21"/>
        </w:rPr>
        <w:t>保函提供人</w:t>
      </w:r>
      <w:r>
        <w:rPr>
          <w:rFonts w:hint="eastAsia" w:ascii="Calibri" w:hAnsi="Calibri" w:cs="Times New Roman" w:eastAsiaTheme="minorEastAsia"/>
          <w:color w:val="auto"/>
          <w:kern w:val="2"/>
          <w:sz w:val="32"/>
          <w:szCs w:val="21"/>
        </w:rPr>
        <w:t>保证就以上货物所提供的全部信息与文件（包括但不限于</w:t>
      </w:r>
      <w:r>
        <w:rPr>
          <w:rFonts w:hint="eastAsia" w:ascii="Calibri" w:hAnsi="Calibri"/>
          <w:sz w:val="32"/>
          <w:szCs w:val="21"/>
        </w:rPr>
        <w:t>卷（带）钢装箱照片和卷（带）钢在箱内的加固照片，以及独立第三方公司出具的绑扎检验报告）</w:t>
      </w:r>
      <w:r>
        <w:rPr>
          <w:rFonts w:hint="eastAsia" w:ascii="Calibri" w:hAnsi="Calibri" w:cs="Times New Roman" w:eastAsiaTheme="minorEastAsia"/>
          <w:color w:val="auto"/>
          <w:kern w:val="2"/>
          <w:sz w:val="32"/>
          <w:szCs w:val="21"/>
        </w:rPr>
        <w:t>均真实准确</w:t>
      </w:r>
      <w:r>
        <w:rPr>
          <w:rFonts w:hint="eastAsia" w:ascii="Calibri" w:hAnsi="Calibri" w:cs="Times New Roman" w:eastAsiaTheme="minorEastAsia"/>
          <w:color w:val="auto"/>
          <w:kern w:val="2"/>
          <w:sz w:val="32"/>
          <w:szCs w:val="21"/>
          <w:lang w:eastAsia="zh-CN"/>
        </w:rPr>
        <w:t>、</w:t>
      </w:r>
      <w:r>
        <w:rPr>
          <w:rFonts w:hint="eastAsia" w:ascii="Calibri" w:hAnsi="Calibri" w:cs="Times New Roman" w:eastAsiaTheme="minorEastAsia"/>
          <w:color w:val="auto"/>
          <w:kern w:val="2"/>
          <w:sz w:val="32"/>
          <w:szCs w:val="21"/>
          <w:lang w:val="en-US" w:eastAsia="zh-CN"/>
        </w:rPr>
        <w:t>符合贵司《</w:t>
      </w:r>
      <w:r>
        <w:rPr>
          <w:rFonts w:hint="eastAsia" w:eastAsia="黑体"/>
          <w:sz w:val="28"/>
        </w:rPr>
        <w:t>卷（带）钢货物集装箱安全运输操作须知</w:t>
      </w:r>
      <w:r>
        <w:rPr>
          <w:rFonts w:hint="eastAsia" w:ascii="Calibri" w:hAnsi="Calibri" w:cs="Times New Roman" w:eastAsiaTheme="minorEastAsia"/>
          <w:color w:val="auto"/>
          <w:kern w:val="2"/>
          <w:sz w:val="32"/>
          <w:szCs w:val="21"/>
          <w:lang w:val="en-US" w:eastAsia="zh-CN"/>
        </w:rPr>
        <w:t>》操作要求</w:t>
      </w:r>
      <w:r>
        <w:rPr>
          <w:rFonts w:hint="eastAsia" w:ascii="Calibri" w:hAnsi="Calibri" w:cs="Times New Roman" w:eastAsiaTheme="minorEastAsia"/>
          <w:color w:val="auto"/>
          <w:kern w:val="2"/>
          <w:sz w:val="32"/>
          <w:szCs w:val="21"/>
        </w:rPr>
        <w:t>，并同时</w:t>
      </w:r>
      <w:r>
        <w:rPr>
          <w:rFonts w:ascii="Calibri" w:hAnsi="Calibri" w:cs="Times New Roman" w:eastAsiaTheme="minorEastAsia"/>
          <w:color w:val="auto"/>
          <w:kern w:val="2"/>
          <w:sz w:val="32"/>
          <w:szCs w:val="21"/>
        </w:rPr>
        <w:t>承诺</w:t>
      </w:r>
      <w:r>
        <w:rPr>
          <w:rFonts w:hint="eastAsia" w:ascii="Calibri" w:hAnsi="Calibri" w:cs="Times New Roman" w:eastAsiaTheme="minorEastAsia"/>
          <w:color w:val="auto"/>
          <w:kern w:val="2"/>
          <w:sz w:val="32"/>
          <w:szCs w:val="21"/>
        </w:rPr>
        <w:t>，针对因</w:t>
      </w:r>
      <w:r>
        <w:rPr>
          <w:rFonts w:hint="eastAsia" w:hAnsi="宋体"/>
          <w:color w:val="3E3E3E"/>
          <w:sz w:val="32"/>
          <w:szCs w:val="21"/>
        </w:rPr>
        <w:t>申报不实或因卷（带）钢货物</w:t>
      </w:r>
      <w:r>
        <w:rPr>
          <w:rFonts w:hint="eastAsia" w:hAnsi="宋体" w:cs="Times New Roman"/>
          <w:bCs/>
          <w:sz w:val="32"/>
          <w:szCs w:val="21"/>
        </w:rPr>
        <w:t>装箱、加固、绑扎不规范所导致的人员伤亡、箱损、货损等情形下的一切风险、责任、费用，均由</w:t>
      </w:r>
      <w:r>
        <w:rPr>
          <w:rFonts w:hint="eastAsia" w:ascii="Calibri" w:hAnsi="Calibri"/>
          <w:sz w:val="32"/>
          <w:szCs w:val="21"/>
        </w:rPr>
        <w:t>保函提供人</w:t>
      </w:r>
      <w:r>
        <w:rPr>
          <w:rFonts w:hint="eastAsia" w:hAnsi="宋体" w:cs="Times New Roman"/>
          <w:bCs/>
          <w:sz w:val="32"/>
          <w:szCs w:val="21"/>
        </w:rPr>
        <w:t>承担</w:t>
      </w:r>
      <w:r>
        <w:rPr>
          <w:rFonts w:ascii="Calibri" w:hAnsi="Calibri" w:cs="Times New Roman" w:eastAsiaTheme="minorEastAsia"/>
          <w:color w:val="auto"/>
          <w:kern w:val="2"/>
          <w:sz w:val="32"/>
          <w:szCs w:val="21"/>
        </w:rPr>
        <w:t>。</w:t>
      </w:r>
    </w:p>
    <w:p>
      <w:pPr>
        <w:pStyle w:val="7"/>
        <w:ind w:firstLine="465"/>
        <w:rPr>
          <w:rFonts w:ascii="Calibri" w:hAnsi="Calibri" w:cs="Times New Roman" w:eastAsiaTheme="minorEastAsia"/>
          <w:color w:val="auto"/>
          <w:kern w:val="2"/>
          <w:sz w:val="32"/>
          <w:szCs w:val="21"/>
        </w:rPr>
      </w:pPr>
    </w:p>
    <w:p>
      <w:pPr>
        <w:pStyle w:val="7"/>
        <w:ind w:firstLine="640" w:firstLineChars="200"/>
        <w:rPr>
          <w:rFonts w:hint="eastAsia" w:ascii="Calibri" w:hAnsi="Calibri" w:cs="Times New Roman" w:eastAsiaTheme="minorEastAsia"/>
          <w:color w:val="auto"/>
          <w:kern w:val="2"/>
          <w:sz w:val="32"/>
          <w:szCs w:val="21"/>
        </w:rPr>
      </w:pPr>
      <w:r>
        <w:rPr>
          <w:rFonts w:hint="eastAsia" w:ascii="Calibri" w:hAnsi="Calibri" w:cs="Times New Roman" w:eastAsiaTheme="minorEastAsia"/>
          <w:color w:val="auto"/>
          <w:kern w:val="2"/>
          <w:sz w:val="32"/>
          <w:szCs w:val="21"/>
        </w:rPr>
        <w:t>贵司有权保留依据本保函及有关法律及港口等有关部门的规定向保函提供人追究法律责任的权力。所有责任与相关费用由保函提供人承担！</w:t>
      </w:r>
    </w:p>
    <w:p>
      <w:pPr>
        <w:pStyle w:val="7"/>
        <w:rPr>
          <w:rFonts w:hint="eastAsia" w:ascii="Calibri" w:hAnsi="Calibri" w:cs="Times New Roman" w:eastAsiaTheme="minorEastAsia"/>
          <w:color w:val="auto"/>
          <w:kern w:val="2"/>
          <w:sz w:val="32"/>
          <w:szCs w:val="21"/>
        </w:rPr>
      </w:pPr>
      <w:r>
        <w:rPr>
          <w:rFonts w:hint="eastAsia" w:ascii="Calibri" w:hAnsi="Calibri" w:cs="Times New Roman" w:eastAsiaTheme="minorEastAsia"/>
          <w:color w:val="auto"/>
          <w:kern w:val="2"/>
          <w:sz w:val="32"/>
          <w:szCs w:val="21"/>
        </w:rPr>
        <w:t>保函</w:t>
      </w:r>
      <w:r>
        <w:rPr>
          <w:rFonts w:ascii="Calibri" w:hAnsi="Calibri" w:cs="Times New Roman" w:eastAsiaTheme="minorEastAsia"/>
          <w:color w:val="auto"/>
          <w:kern w:val="2"/>
          <w:sz w:val="32"/>
          <w:szCs w:val="21"/>
        </w:rPr>
        <w:t xml:space="preserve">有效期：   </w:t>
      </w:r>
      <w:r>
        <w:rPr>
          <w:rFonts w:hint="eastAsia" w:ascii="Calibri" w:hAnsi="Calibri" w:cs="Times New Roman" w:eastAsiaTheme="minorEastAsia"/>
          <w:color w:val="auto"/>
          <w:kern w:val="2"/>
          <w:sz w:val="32"/>
          <w:szCs w:val="21"/>
        </w:rPr>
        <w:t>年   月   日</w:t>
      </w:r>
      <w:r>
        <w:rPr>
          <w:rFonts w:ascii="Calibri" w:hAnsi="Calibri" w:cs="Times New Roman" w:eastAsiaTheme="minorEastAsia"/>
          <w:color w:val="auto"/>
          <w:kern w:val="2"/>
          <w:sz w:val="32"/>
          <w:szCs w:val="21"/>
        </w:rPr>
        <w:t xml:space="preserve">至    </w:t>
      </w:r>
      <w:r>
        <w:rPr>
          <w:rFonts w:hint="eastAsia" w:ascii="Calibri" w:hAnsi="Calibri" w:cs="Times New Roman" w:eastAsiaTheme="minorEastAsia"/>
          <w:color w:val="auto"/>
          <w:kern w:val="2"/>
          <w:sz w:val="32"/>
          <w:szCs w:val="21"/>
        </w:rPr>
        <w:t>年</w:t>
      </w:r>
      <w:r>
        <w:rPr>
          <w:rFonts w:ascii="Calibri" w:hAnsi="Calibri" w:cs="Times New Roman" w:eastAsiaTheme="minorEastAsia"/>
          <w:color w:val="auto"/>
          <w:kern w:val="2"/>
          <w:sz w:val="32"/>
          <w:szCs w:val="21"/>
        </w:rPr>
        <w:t xml:space="preserve">   </w:t>
      </w:r>
      <w:r>
        <w:rPr>
          <w:rFonts w:hint="eastAsia" w:ascii="Calibri" w:hAnsi="Calibri" w:cs="Times New Roman" w:eastAsiaTheme="minorEastAsia"/>
          <w:color w:val="auto"/>
          <w:kern w:val="2"/>
          <w:sz w:val="32"/>
          <w:szCs w:val="21"/>
        </w:rPr>
        <w:t>月</w:t>
      </w:r>
      <w:r>
        <w:rPr>
          <w:rFonts w:ascii="Calibri" w:hAnsi="Calibri" w:cs="Times New Roman" w:eastAsiaTheme="minorEastAsia"/>
          <w:color w:val="auto"/>
          <w:kern w:val="2"/>
          <w:sz w:val="32"/>
          <w:szCs w:val="21"/>
        </w:rPr>
        <w:t xml:space="preserve">   </w:t>
      </w:r>
      <w:r>
        <w:rPr>
          <w:rFonts w:hint="eastAsia" w:ascii="Calibri" w:hAnsi="Calibri" w:cs="Times New Roman" w:eastAsiaTheme="minorEastAsia"/>
          <w:color w:val="auto"/>
          <w:kern w:val="2"/>
          <w:sz w:val="32"/>
          <w:szCs w:val="21"/>
        </w:rPr>
        <w:t>日(有效期在</w:t>
      </w:r>
      <w:r>
        <w:rPr>
          <w:rFonts w:ascii="Calibri" w:hAnsi="Calibri" w:cs="Times New Roman" w:eastAsiaTheme="minorEastAsia"/>
          <w:color w:val="auto"/>
          <w:kern w:val="2"/>
          <w:sz w:val="32"/>
          <w:szCs w:val="21"/>
        </w:rPr>
        <w:t>一个季度内</w:t>
      </w:r>
      <w:r>
        <w:rPr>
          <w:rFonts w:hint="eastAsia" w:ascii="Calibri" w:hAnsi="Calibri" w:cs="Times New Roman" w:eastAsiaTheme="minorEastAsia"/>
          <w:color w:val="auto"/>
          <w:kern w:val="2"/>
          <w:sz w:val="32"/>
          <w:szCs w:val="21"/>
        </w:rPr>
        <w:t>)</w:t>
      </w:r>
    </w:p>
    <w:p>
      <w:pPr>
        <w:pStyle w:val="7"/>
        <w:rPr>
          <w:rFonts w:hint="default" w:ascii="Calibri" w:hAnsi="Calibri" w:cs="Times New Roman" w:eastAsiaTheme="minorEastAsia"/>
          <w:color w:val="auto"/>
          <w:kern w:val="2"/>
          <w:sz w:val="32"/>
          <w:szCs w:val="21"/>
          <w:lang w:val="en-US" w:eastAsia="zh-CN"/>
        </w:rPr>
      </w:pPr>
      <w:r>
        <w:rPr>
          <w:rFonts w:hint="default" w:ascii="Calibri" w:hAnsi="Calibri" w:cs="Times New Roman" w:eastAsiaTheme="minorEastAsia"/>
          <w:color w:val="auto"/>
          <w:kern w:val="2"/>
          <w:sz w:val="32"/>
          <w:szCs w:val="21"/>
          <w:lang w:val="en-US" w:eastAsia="zh-CN"/>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5" DrawAspect="Icon" ObjectID="_1468075725" r:id="rId10">
            <o:LockedField>false</o:LockedField>
          </o:OLEObject>
        </w:object>
      </w:r>
    </w:p>
    <w:p>
      <w:pPr>
        <w:rPr>
          <w:rFonts w:hint="eastAsia" w:ascii="Calibri" w:hAnsi="Calibri"/>
          <w:sz w:val="32"/>
          <w:szCs w:val="21"/>
        </w:rPr>
      </w:pPr>
    </w:p>
    <w:p>
      <w:pPr>
        <w:rPr>
          <w:rFonts w:hint="eastAsia" w:ascii="Calibri" w:hAnsi="Calibri"/>
          <w:sz w:val="32"/>
          <w:szCs w:val="21"/>
        </w:rPr>
      </w:pPr>
    </w:p>
    <w:p>
      <w:pPr>
        <w:ind w:firstLine="640" w:firstLineChars="200"/>
        <w:rPr>
          <w:rFonts w:ascii="Calibri" w:hAnsi="Calibri"/>
          <w:sz w:val="32"/>
          <w:szCs w:val="21"/>
        </w:rPr>
      </w:pPr>
      <w:r>
        <w:rPr>
          <w:rFonts w:hint="eastAsia" w:ascii="Calibri" w:hAnsi="Calibri"/>
          <w:sz w:val="32"/>
          <w:szCs w:val="21"/>
        </w:rPr>
        <w:t>货代（公章）</w:t>
      </w:r>
      <w:r>
        <w:rPr>
          <w:rFonts w:ascii="Calibri" w:hAnsi="Calibri"/>
          <w:sz w:val="32"/>
          <w:szCs w:val="21"/>
        </w:rPr>
        <w:t xml:space="preserve">          </w:t>
      </w:r>
      <w:r>
        <w:rPr>
          <w:rFonts w:ascii="Calibri" w:hAnsi="Calibri"/>
          <w:sz w:val="32"/>
          <w:szCs w:val="21"/>
        </w:rPr>
        <w:tab/>
      </w:r>
      <w:r>
        <w:rPr>
          <w:rFonts w:ascii="Calibri" w:hAnsi="Calibri"/>
          <w:sz w:val="32"/>
          <w:szCs w:val="21"/>
        </w:rPr>
        <w:tab/>
      </w:r>
      <w:r>
        <w:rPr>
          <w:rFonts w:ascii="Calibri" w:hAnsi="Calibri"/>
          <w:sz w:val="32"/>
          <w:szCs w:val="21"/>
        </w:rPr>
        <w:tab/>
      </w:r>
      <w:r>
        <w:rPr>
          <w:rFonts w:ascii="Calibri" w:hAnsi="Calibri"/>
          <w:sz w:val="32"/>
          <w:szCs w:val="21"/>
        </w:rPr>
        <w:t xml:space="preserve">     </w:t>
      </w:r>
      <w:r>
        <w:rPr>
          <w:rFonts w:hint="eastAsia" w:ascii="Calibri" w:hAnsi="Calibri"/>
          <w:sz w:val="32"/>
          <w:szCs w:val="21"/>
        </w:rPr>
        <w:t>托运人（公章）</w:t>
      </w:r>
      <w:r>
        <w:rPr>
          <w:rFonts w:ascii="Calibri" w:hAnsi="Calibri"/>
          <w:sz w:val="32"/>
          <w:szCs w:val="21"/>
        </w:rPr>
        <w:t xml:space="preserve">    </w:t>
      </w:r>
    </w:p>
    <w:p>
      <w:pPr>
        <w:ind w:firstLine="5760" w:firstLineChars="1800"/>
        <w:rPr>
          <w:rFonts w:asciiTheme="minorEastAsia" w:hAnsiTheme="minorEastAsia"/>
          <w:bCs/>
          <w:sz w:val="32"/>
          <w:szCs w:val="21"/>
        </w:rPr>
      </w:pPr>
      <w:r>
        <w:rPr>
          <w:rFonts w:hint="eastAsia" w:ascii="Calibri" w:hAnsi="Calibri"/>
          <w:sz w:val="32"/>
          <w:szCs w:val="21"/>
        </w:rPr>
        <w:t>年  月  日</w:t>
      </w:r>
      <w:r>
        <w:rPr>
          <w:rFonts w:ascii="Calibri" w:hAnsi="Calibri"/>
          <w:sz w:val="32"/>
          <w:szCs w:val="21"/>
        </w:rPr>
        <w:t xml:space="preserve"> </w:t>
      </w:r>
    </w:p>
    <w:p>
      <w:pPr>
        <w:rPr>
          <w:sz w:val="32"/>
        </w:rPr>
      </w:pPr>
    </w:p>
    <w:p>
      <w:pPr>
        <w:rPr>
          <w:sz w:val="32"/>
        </w:rPr>
      </w:pPr>
    </w:p>
    <w:p>
      <w:pPr>
        <w:rPr>
          <w:sz w:val="32"/>
        </w:rPr>
      </w:pPr>
    </w:p>
    <w:p>
      <w:pPr>
        <w:rPr>
          <w:sz w:val="32"/>
        </w:rPr>
      </w:pPr>
      <w:bookmarkStart w:id="0" w:name="_GoBack"/>
      <w:bookmarkEnd w:id="0"/>
    </w:p>
    <w:p>
      <w:pPr>
        <w:rPr>
          <w:sz w:val="32"/>
        </w:rPr>
      </w:pPr>
    </w:p>
    <w:p>
      <w:pPr>
        <w:jc w:val="center"/>
        <w:rPr>
          <w:rFonts w:hint="eastAsia" w:eastAsia="黑体"/>
          <w:sz w:val="28"/>
        </w:rPr>
      </w:pPr>
    </w:p>
    <w:p>
      <w:pPr>
        <w:jc w:val="center"/>
        <w:rPr>
          <w:rFonts w:eastAsia="黑体"/>
          <w:sz w:val="28"/>
        </w:rPr>
      </w:pPr>
      <w:r>
        <w:rPr>
          <w:rFonts w:hint="eastAsia" w:eastAsia="黑体"/>
          <w:sz w:val="28"/>
        </w:rPr>
        <w:t>卷（带）钢货物集装箱安全运输操作须知</w:t>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一）目的和范围</w:t>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卷（带）钢货物单件重量大、易于在运输途中滚动。如果操作不当、容易造成安全隐患。为了承运人及相关方安全操作卷（带）钢货物，特此制定如下三个阶段的操作须知。</w:t>
      </w:r>
    </w:p>
    <w:p>
      <w:pPr>
        <w:widowControl/>
        <w:shd w:val="clear" w:color="auto" w:fill="FFFFFF"/>
        <w:spacing w:before="100" w:beforeAutospacing="1" w:after="100" w:afterAutospacing="1"/>
        <w:contextualSpacing/>
        <w:jc w:val="left"/>
        <w:rPr>
          <w:rFonts w:ascii="宋体" w:hAnsi="宋体" w:cs="宋体"/>
          <w:color w:val="3E3E3E"/>
          <w:szCs w:val="21"/>
        </w:rPr>
      </w:pP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二）操作须知</w:t>
      </w:r>
    </w:p>
    <w:p>
      <w:pPr>
        <w:widowControl/>
        <w:shd w:val="clear" w:color="auto" w:fill="FFFFFF"/>
        <w:spacing w:before="100" w:beforeAutospacing="1" w:after="100" w:afterAutospacing="1"/>
        <w:contextualSpacing/>
        <w:jc w:val="left"/>
        <w:rPr>
          <w:rFonts w:ascii="宋体" w:hAnsi="宋体" w:cs="宋体"/>
          <w:color w:val="3E3E3E"/>
          <w:szCs w:val="21"/>
        </w:rPr>
      </w:pP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在定舱阶段：</w:t>
      </w:r>
    </w:p>
    <w:p>
      <w:pPr>
        <w:widowControl/>
        <w:numPr>
          <w:ilvl w:val="0"/>
          <w:numId w:val="1"/>
        </w:numPr>
        <w:shd w:val="clear" w:color="auto" w:fill="FFFFFF"/>
        <w:adjustRightInd/>
        <w:spacing w:before="100" w:beforeAutospacing="1" w:after="100" w:afterAutospacing="1" w:line="240" w:lineRule="auto"/>
        <w:contextualSpacing/>
        <w:jc w:val="left"/>
        <w:textAlignment w:val="auto"/>
        <w:rPr>
          <w:rFonts w:ascii="宋体" w:hAnsi="宋体" w:cs="宋体"/>
          <w:color w:val="3E3E3E"/>
          <w:szCs w:val="21"/>
        </w:rPr>
      </w:pPr>
      <w:r>
        <w:rPr>
          <w:rFonts w:hint="eastAsia" w:ascii="宋体" w:hAnsi="宋体" w:cs="宋体"/>
          <w:color w:val="3E3E3E"/>
          <w:szCs w:val="21"/>
        </w:rPr>
        <w:t>请发货人方提供卷（带）钢装箱照片和卷（带）钢在箱内的加固照片，并且需要提供</w:t>
      </w:r>
    </w:p>
    <w:p>
      <w:pPr>
        <w:widowControl/>
        <w:shd w:val="clear" w:color="auto" w:fill="FFFFFF"/>
        <w:spacing w:before="100" w:beforeAutospacing="1" w:after="100" w:afterAutospacing="1"/>
        <w:ind w:left="720"/>
        <w:contextualSpacing/>
        <w:jc w:val="left"/>
        <w:rPr>
          <w:rFonts w:ascii="宋体" w:hAnsi="宋体" w:cs="宋体"/>
          <w:color w:val="3E3E3E"/>
          <w:szCs w:val="21"/>
        </w:rPr>
      </w:pPr>
      <w:r>
        <w:rPr>
          <w:rFonts w:hint="eastAsia" w:ascii="宋体" w:hAnsi="宋体" w:cs="宋体"/>
          <w:color w:val="3E3E3E"/>
          <w:szCs w:val="21"/>
        </w:rPr>
        <w:t>独立第三方公司出具的绑扎检验报告（比如CCS，BV等）。</w:t>
      </w:r>
    </w:p>
    <w:p>
      <w:pPr>
        <w:widowControl/>
        <w:numPr>
          <w:ilvl w:val="0"/>
          <w:numId w:val="1"/>
        </w:numPr>
        <w:shd w:val="clear" w:color="auto" w:fill="FFFFFF"/>
        <w:adjustRightInd/>
        <w:spacing w:before="100" w:beforeAutospacing="1" w:after="100" w:afterAutospacing="1" w:line="240" w:lineRule="auto"/>
        <w:contextualSpacing/>
        <w:jc w:val="left"/>
        <w:textAlignment w:val="auto"/>
        <w:rPr>
          <w:rFonts w:ascii="宋体" w:hAnsi="宋体" w:cs="宋体"/>
          <w:color w:val="3E3E3E"/>
          <w:szCs w:val="21"/>
        </w:rPr>
      </w:pPr>
      <w:r>
        <w:rPr>
          <w:rFonts w:hint="eastAsia" w:ascii="宋体" w:hAnsi="宋体" w:cs="宋体"/>
          <w:color w:val="3E3E3E"/>
          <w:szCs w:val="21"/>
        </w:rPr>
        <w:t>请发货人方提供保函（具体格式参文末），确认承担由于申报不实或卷（带）钢货物</w:t>
      </w:r>
      <w:r>
        <w:rPr>
          <w:rFonts w:hint="eastAsia" w:ascii="宋体" w:hAnsi="宋体"/>
          <w:bCs/>
          <w:szCs w:val="21"/>
        </w:rPr>
        <w:t>装箱、加固、绑扎不规范导致的人员伤亡、箱损、货损、船损、码头损等一切风险、责任、费用均由发货人承担。</w:t>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提箱阶段:</w:t>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1,</w:t>
      </w:r>
      <w:r>
        <w:rPr>
          <w:rFonts w:hint="eastAsia" w:ascii="宋体" w:hAnsi="宋体" w:cs="宋体"/>
          <w:color w:val="3E3E3E"/>
          <w:szCs w:val="21"/>
        </w:rPr>
        <w:tab/>
      </w:r>
      <w:r>
        <w:rPr>
          <w:rFonts w:hint="eastAsia" w:ascii="宋体" w:hAnsi="宋体" w:cs="宋体"/>
          <w:color w:val="3E3E3E"/>
          <w:szCs w:val="21"/>
        </w:rPr>
        <w:tab/>
      </w:r>
      <w:r>
        <w:rPr>
          <w:rFonts w:hint="eastAsia" w:ascii="宋体" w:hAnsi="宋体" w:cs="宋体"/>
          <w:color w:val="3E3E3E"/>
          <w:szCs w:val="21"/>
        </w:rPr>
        <w:t>请发货人首选提取卷（带）钢专用箱托运卷（带）钢货物。</w:t>
      </w:r>
    </w:p>
    <w:p>
      <w:pPr>
        <w:widowControl/>
        <w:shd w:val="clear" w:color="auto" w:fill="FFFFFF"/>
        <w:spacing w:before="100" w:beforeAutospacing="1" w:after="100" w:afterAutospacing="1"/>
        <w:contextualSpacing/>
        <w:jc w:val="left"/>
        <w:rPr>
          <w:rFonts w:asciiTheme="minorEastAsia" w:hAnsiTheme="minorEastAsia"/>
          <w:szCs w:val="21"/>
        </w:rPr>
      </w:pPr>
      <w:r>
        <w:rPr>
          <w:rFonts w:hint="eastAsia" w:ascii="宋体" w:hAnsi="宋体" w:cs="宋体"/>
          <w:color w:val="3E3E3E"/>
          <w:szCs w:val="21"/>
        </w:rPr>
        <w:t>2，     对于短缺卷（带）钢专用箱的口岸，请发货人通知其堆场或车队在提20GP干货空箱（</w:t>
      </w:r>
      <w:r>
        <w:rPr>
          <w:rFonts w:hint="eastAsia" w:asciiTheme="minorEastAsia" w:hAnsiTheme="minorEastAsia"/>
          <w:szCs w:val="21"/>
        </w:rPr>
        <w:t>符</w:t>
      </w:r>
    </w:p>
    <w:p>
      <w:pPr>
        <w:widowControl/>
        <w:shd w:val="clear" w:color="auto" w:fill="FFFFFF"/>
        <w:spacing w:before="100" w:beforeAutospacing="1" w:after="100" w:afterAutospacing="1"/>
        <w:ind w:firstLine="840" w:firstLineChars="400"/>
        <w:contextualSpacing/>
        <w:jc w:val="left"/>
        <w:rPr>
          <w:rFonts w:ascii="宋体" w:hAnsi="宋体" w:cs="宋体"/>
          <w:color w:val="3E3E3E"/>
          <w:szCs w:val="21"/>
        </w:rPr>
      </w:pPr>
      <w:r>
        <w:rPr>
          <w:rFonts w:hint="eastAsia" w:asciiTheme="minorEastAsia" w:hAnsiTheme="minorEastAsia"/>
          <w:szCs w:val="21"/>
        </w:rPr>
        <w:t>合GB/T1413-2008标准）</w:t>
      </w:r>
      <w:r>
        <w:rPr>
          <w:rFonts w:hint="eastAsia" w:ascii="宋体" w:hAnsi="宋体" w:cs="宋体"/>
          <w:color w:val="3E3E3E"/>
          <w:szCs w:val="21"/>
        </w:rPr>
        <w:t>时要注意检查箱况，挑选成色新（小于5年箱龄）、</w:t>
      </w:r>
    </w:p>
    <w:p>
      <w:pPr>
        <w:widowControl/>
        <w:shd w:val="clear" w:color="auto" w:fill="FFFFFF"/>
        <w:spacing w:before="100" w:beforeAutospacing="1" w:after="100" w:afterAutospacing="1"/>
        <w:ind w:firstLine="840" w:firstLineChars="400"/>
        <w:contextualSpacing/>
        <w:jc w:val="left"/>
        <w:rPr>
          <w:rFonts w:ascii="宋体" w:hAnsi="宋体" w:cs="宋体"/>
          <w:color w:val="3E3E3E"/>
          <w:szCs w:val="21"/>
        </w:rPr>
      </w:pPr>
      <w:r>
        <w:rPr>
          <w:rFonts w:hint="eastAsia" w:ascii="宋体" w:hAnsi="宋体" w:cs="宋体"/>
          <w:color w:val="3E3E3E"/>
          <w:szCs w:val="21"/>
        </w:rPr>
        <w:t>箱况好的集箱装载卷（带）钢货物。避免选用陈旧、锈蚀、破损箱装载卷（带）钢货物。</w:t>
      </w:r>
    </w:p>
    <w:p>
      <w:pPr>
        <w:widowControl/>
        <w:shd w:val="clear" w:color="auto" w:fill="FFFFFF"/>
        <w:spacing w:before="100" w:beforeAutospacing="1" w:after="100" w:afterAutospacing="1"/>
        <w:ind w:left="420" w:firstLine="420"/>
        <w:contextualSpacing/>
        <w:jc w:val="left"/>
        <w:rPr>
          <w:rFonts w:ascii="宋体" w:hAnsi="宋体" w:cs="宋体"/>
          <w:color w:val="3E3E3E"/>
          <w:szCs w:val="21"/>
        </w:rPr>
      </w:pP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装箱阶段：</w:t>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装箱阶段的卷（带）钢货物如何科学合理地铺垫、绑扎、加固是保障运输质量及避免安全隐患的关键。</w:t>
      </w:r>
    </w:p>
    <w:p>
      <w:pPr>
        <w:widowControl/>
        <w:numPr>
          <w:ilvl w:val="0"/>
          <w:numId w:val="2"/>
        </w:numPr>
        <w:shd w:val="clear" w:color="auto" w:fill="FFFFFF"/>
        <w:adjustRightInd/>
        <w:spacing w:before="100" w:beforeAutospacing="1" w:after="100" w:afterAutospacing="1" w:line="240" w:lineRule="auto"/>
        <w:contextualSpacing/>
        <w:jc w:val="left"/>
        <w:textAlignment w:val="auto"/>
        <w:rPr>
          <w:rFonts w:ascii="宋体" w:hAnsi="宋体" w:cs="宋体"/>
          <w:color w:val="3E3E3E"/>
          <w:szCs w:val="21"/>
        </w:rPr>
      </w:pPr>
      <w:r>
        <w:rPr>
          <w:rFonts w:hint="eastAsia" w:ascii="宋体" w:hAnsi="宋体" w:cs="宋体"/>
          <w:color w:val="3E3E3E"/>
          <w:szCs w:val="21"/>
        </w:rPr>
        <w:t>发货人要选用正规、合格、合理的铺垫、绑扎、加固材料。不能为了节省成本</w:t>
      </w:r>
    </w:p>
    <w:p>
      <w:pPr>
        <w:widowControl/>
        <w:shd w:val="clear" w:color="auto" w:fill="FFFFFF"/>
        <w:adjustRightInd/>
        <w:spacing w:before="100" w:beforeAutospacing="1" w:after="100" w:afterAutospacing="1" w:line="240" w:lineRule="auto"/>
        <w:ind w:left="720"/>
        <w:contextualSpacing/>
        <w:jc w:val="left"/>
        <w:textAlignment w:val="auto"/>
        <w:rPr>
          <w:rFonts w:ascii="宋体" w:hAnsi="宋体" w:cs="宋体"/>
          <w:color w:val="3E3E3E"/>
          <w:szCs w:val="21"/>
        </w:rPr>
      </w:pPr>
      <w:r>
        <w:rPr>
          <w:rFonts w:hint="eastAsia" w:ascii="宋体" w:hAnsi="宋体" w:cs="宋体"/>
          <w:color w:val="3E3E3E"/>
          <w:szCs w:val="21"/>
        </w:rPr>
        <w:t>使用劣质材料导致后续的安全隐患。</w:t>
      </w:r>
    </w:p>
    <w:p>
      <w:pPr>
        <w:widowControl/>
        <w:shd w:val="clear" w:color="auto" w:fill="FFFFFF"/>
        <w:adjustRightInd/>
        <w:spacing w:before="100" w:beforeAutospacing="1" w:after="100" w:afterAutospacing="1" w:line="240" w:lineRule="auto"/>
        <w:ind w:left="720"/>
        <w:contextualSpacing/>
        <w:jc w:val="left"/>
        <w:textAlignment w:val="auto"/>
        <w:rPr>
          <w:rFonts w:ascii="宋体" w:hAnsi="宋体" w:cs="宋体"/>
          <w:color w:val="3E3E3E"/>
          <w:szCs w:val="21"/>
        </w:rPr>
      </w:pPr>
    </w:p>
    <w:p>
      <w:pPr>
        <w:widowControl/>
        <w:shd w:val="clear" w:color="auto" w:fill="FFFFFF"/>
        <w:spacing w:before="100" w:beforeAutospacing="1" w:after="100" w:afterAutospacing="1"/>
        <w:ind w:left="720"/>
        <w:contextualSpacing/>
        <w:jc w:val="left"/>
        <w:rPr>
          <w:rFonts w:ascii="宋体" w:hAnsi="宋体" w:cs="宋体"/>
          <w:color w:val="3E3E3E"/>
          <w:szCs w:val="21"/>
        </w:rPr>
      </w:pPr>
      <w:r>
        <w:rPr>
          <w:rFonts w:ascii="宋体" w:hAnsi="宋体" w:cs="宋体"/>
          <w:color w:val="3E3E3E"/>
          <w:szCs w:val="21"/>
        </w:rPr>
        <w:drawing>
          <wp:inline distT="0" distB="0" distL="0" distR="0">
            <wp:extent cx="4908550" cy="2911475"/>
            <wp:effectExtent l="0" t="0" r="635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08550" cy="2911475"/>
                    </a:xfrm>
                    <a:prstGeom prst="rect">
                      <a:avLst/>
                    </a:prstGeom>
                    <a:noFill/>
                    <a:ln>
                      <a:noFill/>
                    </a:ln>
                  </pic:spPr>
                </pic:pic>
              </a:graphicData>
            </a:graphic>
          </wp:inline>
        </w:drawing>
      </w:r>
    </w:p>
    <w:p>
      <w:pPr>
        <w:widowControl/>
        <w:shd w:val="clear" w:color="auto" w:fill="FFFFFF"/>
        <w:spacing w:before="100" w:beforeAutospacing="1" w:after="100" w:afterAutospacing="1"/>
        <w:contextualSpacing/>
        <w:jc w:val="left"/>
        <w:rPr>
          <w:rFonts w:ascii="宋体" w:hAnsi="宋体" w:cs="宋体"/>
          <w:color w:val="3E3E3E"/>
          <w:szCs w:val="21"/>
        </w:rPr>
      </w:pPr>
      <w:r>
        <w:rPr>
          <w:rFonts w:hint="eastAsia" w:ascii="宋体" w:hAnsi="宋体" w:cs="宋体"/>
          <w:color w:val="3E3E3E"/>
          <w:szCs w:val="21"/>
        </w:rPr>
        <w:t xml:space="preserve">      注：如箱内绑扎钢卷使用钢丝绳，建议使用直径不小于16MM的钢丝绳。</w:t>
      </w:r>
    </w:p>
    <w:p>
      <w:pPr>
        <w:widowControl/>
        <w:shd w:val="clear" w:color="auto" w:fill="FFFFFF"/>
        <w:spacing w:before="100" w:beforeAutospacing="1" w:after="100" w:afterAutospacing="1"/>
        <w:contextualSpacing/>
        <w:jc w:val="left"/>
        <w:rPr>
          <w:rFonts w:ascii="宋体" w:hAnsi="宋体" w:cs="宋体"/>
          <w:color w:val="3E3E3E"/>
          <w:szCs w:val="21"/>
        </w:rPr>
      </w:pPr>
    </w:p>
    <w:p>
      <w:pPr>
        <w:widowControl/>
        <w:numPr>
          <w:ilvl w:val="0"/>
          <w:numId w:val="2"/>
        </w:numPr>
        <w:shd w:val="clear" w:color="auto" w:fill="FFFFFF"/>
        <w:adjustRightInd/>
        <w:spacing w:before="100" w:beforeAutospacing="1" w:after="100" w:afterAutospacing="1" w:line="240" w:lineRule="auto"/>
        <w:contextualSpacing/>
        <w:jc w:val="left"/>
        <w:textAlignment w:val="auto"/>
        <w:rPr>
          <w:rFonts w:ascii="宋体" w:hAnsi="宋体" w:cs="宋体"/>
          <w:color w:val="3E3E3E"/>
          <w:szCs w:val="21"/>
        </w:rPr>
      </w:pPr>
      <w:r>
        <w:rPr>
          <w:rFonts w:hint="eastAsia" w:ascii="宋体" w:hAnsi="宋体" w:cs="宋体"/>
          <w:color w:val="3E3E3E"/>
          <w:szCs w:val="21"/>
        </w:rPr>
        <w:t>集装箱作为承运容器其最大安全载荷、底板、箱底横梁、箱内绑扎铃环及箱壁的安全负荷都是有限度的。发货人在装箱时要注意避免超指标装载。</w:t>
      </w:r>
    </w:p>
    <w:p>
      <w:pPr>
        <w:widowControl/>
        <w:shd w:val="clear" w:color="auto" w:fill="FFFFFF"/>
        <w:spacing w:before="100" w:beforeAutospacing="1" w:after="100" w:afterAutospacing="1"/>
        <w:ind w:left="720"/>
        <w:contextualSpacing/>
        <w:jc w:val="left"/>
        <w:rPr>
          <w:rFonts w:ascii="宋体" w:hAnsi="宋体" w:cs="宋体"/>
          <w:color w:val="3E3E3E"/>
          <w:szCs w:val="21"/>
        </w:rPr>
      </w:pPr>
    </w:p>
    <w:p>
      <w:pPr>
        <w:widowControl/>
        <w:shd w:val="clear" w:color="auto" w:fill="FFFFFF"/>
        <w:spacing w:before="100" w:beforeAutospacing="1" w:after="100" w:afterAutospacing="1"/>
        <w:ind w:left="1350" w:leftChars="343" w:hanging="630" w:hangingChars="300"/>
        <w:contextualSpacing/>
        <w:jc w:val="left"/>
        <w:rPr>
          <w:rFonts w:ascii="宋体" w:hAnsi="宋体" w:cs="宋体"/>
          <w:color w:val="3E3E3E"/>
          <w:szCs w:val="21"/>
        </w:rPr>
      </w:pPr>
      <w:r>
        <w:rPr>
          <w:rFonts w:hint="eastAsia" w:ascii="宋体" w:hAnsi="宋体" w:cs="宋体"/>
          <w:color w:val="3E3E3E"/>
          <w:szCs w:val="21"/>
        </w:rPr>
        <w:t>A：  20GP干货箱的最大安全载荷是28.19吨左右，考虑到卷（带）钢货物重量均匀（平均）分摊到集装箱箱地板上的客观难度以及集装箱箱体金属疲劳导致的旧箱还有一定比例的强度折扣，所以20GP干货箱接载卷（带）钢货物总重量不能超过26吨。</w:t>
      </w: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r>
        <w:rPr>
          <w:rFonts w:hint="eastAsia" w:ascii="宋体" w:hAnsi="宋体" w:cs="宋体"/>
          <w:color w:val="3E3E3E"/>
          <w:szCs w:val="21"/>
        </w:rPr>
        <w:t>B:   20GP干货箱的最大安全载荷是28.19吨，其内面积是13.872平方米，也就是说其底板的安全负荷是每平方米仅2.032吨。考虑到金属及木板疲劳导致的旧箱强度折扣，所以20GP干货箱的最大安全负荷绝对不能超每平方米2吨。</w:t>
      </w: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p>
    <w:p>
      <w:pPr>
        <w:widowControl/>
        <w:shd w:val="clear" w:color="auto" w:fill="FFFFFF"/>
        <w:spacing w:before="100" w:beforeAutospacing="1" w:after="100" w:afterAutospacing="1"/>
        <w:ind w:left="1440"/>
        <w:contextualSpacing/>
        <w:jc w:val="left"/>
        <w:rPr>
          <w:rFonts w:ascii="宋体" w:hAnsi="宋体" w:cs="宋体"/>
          <w:color w:val="3E3E3E"/>
          <w:szCs w:val="21"/>
        </w:rPr>
      </w:pPr>
      <w:r>
        <w:rPr>
          <w:rFonts w:hint="eastAsia" w:ascii="宋体" w:hAnsi="宋体" w:cs="宋体"/>
          <w:color w:val="3E3E3E"/>
          <w:szCs w:val="21"/>
        </w:rPr>
        <w:t>卷（带）钢货物装箱不允许将卷（带）钢直接接触集装箱箱地板，建议使用钢制构架托盘以扩大与箱底板的接触面积才能使得安全负荷小于要求的每平方米2吨。</w:t>
      </w:r>
    </w:p>
    <w:p>
      <w:pPr>
        <w:widowControl/>
        <w:shd w:val="clear" w:color="auto" w:fill="FFFFFF"/>
        <w:spacing w:before="100" w:beforeAutospacing="1" w:after="100" w:afterAutospacing="1"/>
        <w:ind w:left="1440"/>
        <w:contextualSpacing/>
        <w:jc w:val="left"/>
        <w:rPr>
          <w:rFonts w:ascii="宋体" w:hAnsi="宋体" w:cs="宋体"/>
          <w:color w:val="3E3E3E"/>
          <w:szCs w:val="21"/>
        </w:rPr>
      </w:pPr>
      <w:r>
        <w:rPr>
          <w:rFonts w:ascii="微软雅黑" w:hAnsi="微软雅黑" w:eastAsia="微软雅黑"/>
          <w:color w:val="000000"/>
          <w:szCs w:val="21"/>
        </w:rPr>
        <w:drawing>
          <wp:inline distT="0" distB="0" distL="0" distR="0">
            <wp:extent cx="5231130" cy="1999615"/>
            <wp:effectExtent l="0" t="0" r="7620" b="635"/>
            <wp:docPr id="3" name="图片 3" descr="cid:image010.jpg@01D62CF3.1D74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10.jpg@01D62CF3.1D74143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a:xfrm>
                      <a:off x="0" y="0"/>
                      <a:ext cx="5232433" cy="2000113"/>
                    </a:xfrm>
                    <a:prstGeom prst="rect">
                      <a:avLst/>
                    </a:prstGeom>
                    <a:noFill/>
                    <a:ln>
                      <a:noFill/>
                    </a:ln>
                  </pic:spPr>
                </pic:pic>
              </a:graphicData>
            </a:graphic>
          </wp:inline>
        </w:drawing>
      </w:r>
    </w:p>
    <w:p>
      <w:pPr>
        <w:widowControl/>
        <w:shd w:val="clear" w:color="auto" w:fill="FFFFFF"/>
        <w:spacing w:before="100" w:beforeAutospacing="1" w:after="100" w:afterAutospacing="1"/>
        <w:ind w:left="1440"/>
        <w:contextualSpacing/>
        <w:jc w:val="left"/>
        <w:rPr>
          <w:rFonts w:ascii="宋体" w:hAnsi="宋体" w:cs="宋体"/>
          <w:color w:val="3E3E3E"/>
          <w:szCs w:val="21"/>
        </w:rPr>
      </w:pPr>
      <w:r>
        <w:rPr>
          <w:rFonts w:hint="eastAsia" w:ascii="宋体" w:hAnsi="宋体" w:cs="宋体"/>
          <w:sz w:val="24"/>
          <w:szCs w:val="24"/>
          <w:shd w:val="clear" w:color="auto" w:fill="FFFFFF"/>
        </w:rPr>
        <w:drawing>
          <wp:inline distT="0" distB="0" distL="0" distR="0">
            <wp:extent cx="5231130" cy="2243455"/>
            <wp:effectExtent l="0" t="0" r="7620" b="4445"/>
            <wp:docPr id="4" name="图片 4" descr="1571284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12847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94320" cy="2270570"/>
                    </a:xfrm>
                    <a:prstGeom prst="rect">
                      <a:avLst/>
                    </a:prstGeom>
                    <a:noFill/>
                    <a:ln>
                      <a:noFill/>
                    </a:ln>
                  </pic:spPr>
                </pic:pic>
              </a:graphicData>
            </a:graphic>
          </wp:inline>
        </w:drawing>
      </w:r>
    </w:p>
    <w:p>
      <w:pPr>
        <w:widowControl/>
        <w:shd w:val="clear" w:color="auto" w:fill="FFFFFF"/>
        <w:spacing w:before="100" w:beforeAutospacing="1" w:after="100" w:afterAutospacing="1"/>
        <w:ind w:left="1440"/>
        <w:contextualSpacing/>
        <w:jc w:val="left"/>
        <w:rPr>
          <w:rFonts w:ascii="宋体" w:hAnsi="宋体" w:cs="宋体"/>
          <w:color w:val="3E3E3E"/>
          <w:szCs w:val="21"/>
        </w:rPr>
      </w:pPr>
    </w:p>
    <w:p>
      <w:pPr>
        <w:ind w:left="420" w:firstLine="420"/>
        <w:rPr>
          <w:rFonts w:asciiTheme="minorEastAsia" w:hAnsiTheme="minorEastAsia"/>
          <w:szCs w:val="21"/>
        </w:rPr>
      </w:pPr>
      <w:r>
        <w:rPr>
          <w:rFonts w:hint="eastAsia" w:ascii="宋体" w:hAnsi="宋体" w:cs="宋体"/>
          <w:color w:val="3E3E3E"/>
          <w:szCs w:val="21"/>
        </w:rPr>
        <w:t xml:space="preserve">C:   </w:t>
      </w:r>
      <w:r>
        <w:rPr>
          <w:rFonts w:hint="eastAsia" w:asciiTheme="minorEastAsia" w:hAnsiTheme="minorEastAsia"/>
          <w:szCs w:val="21"/>
        </w:rPr>
        <w:t>请务必确保卷（带）钢货物在集装箱内纵向中轴线上积载，纵向平均分配重量、</w:t>
      </w:r>
    </w:p>
    <w:p>
      <w:pPr>
        <w:ind w:left="420" w:firstLine="945" w:firstLineChars="450"/>
        <w:rPr>
          <w:rFonts w:asciiTheme="minorEastAsia" w:hAnsiTheme="minorEastAsia"/>
          <w:szCs w:val="21"/>
        </w:rPr>
      </w:pPr>
      <w:r>
        <w:rPr>
          <w:rFonts w:hint="eastAsia" w:asciiTheme="minorEastAsia" w:hAnsiTheme="minorEastAsia"/>
          <w:szCs w:val="21"/>
        </w:rPr>
        <w:t>合理衬垫、绑扎。</w:t>
      </w:r>
    </w:p>
    <w:p>
      <w:pPr>
        <w:rPr>
          <w:rFonts w:asciiTheme="minorEastAsia" w:hAnsiTheme="minorEastAsia"/>
          <w:szCs w:val="21"/>
        </w:rPr>
      </w:pPr>
      <w:r>
        <w:rPr>
          <w:rFonts w:hint="eastAsia" w:asciiTheme="minorEastAsia" w:hAnsiTheme="minorEastAsia"/>
          <w:szCs w:val="21"/>
        </w:rPr>
        <w:t xml:space="preserve">        </w:t>
      </w:r>
      <w:r>
        <w:rPr>
          <w:rFonts w:hint="eastAsia" w:asciiTheme="minorEastAsia" w:hAnsiTheme="minorEastAsia"/>
          <w:szCs w:val="21"/>
        </w:rPr>
        <w:tab/>
      </w:r>
      <w:r>
        <w:rPr>
          <w:rFonts w:hint="eastAsia" w:asciiTheme="minorEastAsia" w:hAnsiTheme="minorEastAsia"/>
          <w:szCs w:val="21"/>
        </w:rPr>
        <w:t xml:space="preserve">     坚决避免箱内积载卷（带）钢货物直接接触集装箱箱底板。</w:t>
      </w:r>
    </w:p>
    <w:p>
      <w:pPr>
        <w:rPr>
          <w:rFonts w:asciiTheme="minorEastAsia" w:hAnsiTheme="minorEastAsia"/>
          <w:szCs w:val="21"/>
        </w:rPr>
      </w:pPr>
      <w:r>
        <w:rPr>
          <w:rFonts w:hint="eastAsia" w:asciiTheme="minorEastAsia" w:hAnsiTheme="minorEastAsia"/>
          <w:szCs w:val="21"/>
        </w:rPr>
        <w:t xml:space="preserve">         </w:t>
      </w:r>
      <w:r>
        <w:rPr>
          <w:rFonts w:hint="eastAsia" w:asciiTheme="minorEastAsia" w:hAnsiTheme="minorEastAsia"/>
          <w:szCs w:val="21"/>
        </w:rPr>
        <w:tab/>
      </w:r>
      <w:r>
        <w:rPr>
          <w:rFonts w:hint="eastAsia" w:asciiTheme="minorEastAsia" w:hAnsiTheme="minorEastAsia"/>
          <w:szCs w:val="21"/>
        </w:rPr>
        <w:t xml:space="preserve"> 通过合理衬垫、扩大衬垫与集装箱箱底板间的接触面积确保卷（带）钢货物给集装箱</w:t>
      </w:r>
    </w:p>
    <w:p>
      <w:pPr>
        <w:ind w:left="105" w:firstLine="1260" w:firstLineChars="600"/>
        <w:rPr>
          <w:rFonts w:asciiTheme="minorEastAsia" w:hAnsiTheme="minorEastAsia"/>
          <w:szCs w:val="21"/>
        </w:rPr>
      </w:pPr>
      <w:r>
        <w:rPr>
          <w:rFonts w:hint="eastAsia" w:asciiTheme="minorEastAsia" w:hAnsiTheme="minorEastAsia"/>
          <w:szCs w:val="21"/>
        </w:rPr>
        <w:t>箱底板的负荷（压强）不超过每平方米2吨。</w:t>
      </w:r>
    </w:p>
    <w:p>
      <w:pPr>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ab/>
      </w:r>
      <w:r>
        <w:rPr>
          <w:rFonts w:hint="eastAsia" w:asciiTheme="minorEastAsia" w:hAnsiTheme="minorEastAsia"/>
          <w:szCs w:val="21"/>
        </w:rPr>
        <w:tab/>
      </w:r>
      <w:r>
        <w:rPr>
          <w:rFonts w:hint="eastAsia" w:asciiTheme="minorEastAsia" w:hAnsiTheme="minorEastAsia"/>
          <w:szCs w:val="21"/>
        </w:rPr>
        <w:t xml:space="preserve"> 因为20GP箱每根集装箱底横梁槽钢的最大有效安全负荷是1.5吨，所以请务必</w:t>
      </w:r>
    </w:p>
    <w:p>
      <w:pPr>
        <w:ind w:firstLine="1365" w:firstLineChars="650"/>
        <w:rPr>
          <w:rFonts w:asciiTheme="minorEastAsia" w:hAnsiTheme="minorEastAsia"/>
          <w:szCs w:val="21"/>
        </w:rPr>
      </w:pPr>
      <w:r>
        <w:rPr>
          <w:rFonts w:hint="eastAsia" w:asciiTheme="minorEastAsia" w:hAnsiTheme="minorEastAsia"/>
          <w:szCs w:val="21"/>
        </w:rPr>
        <w:t>确保每个卷（带）钢底下的钢质构架衬垫能纵向跨过足够多的箱底横梁(即箱内纵向</w:t>
      </w:r>
    </w:p>
    <w:p>
      <w:pPr>
        <w:ind w:firstLine="1365" w:firstLineChars="650"/>
        <w:rPr>
          <w:rFonts w:asciiTheme="minorEastAsia" w:hAnsiTheme="minorEastAsia"/>
          <w:szCs w:val="21"/>
        </w:rPr>
      </w:pPr>
      <w:r>
        <w:rPr>
          <w:rFonts w:hint="eastAsia" w:asciiTheme="minorEastAsia" w:hAnsiTheme="minorEastAsia"/>
          <w:szCs w:val="21"/>
        </w:rPr>
        <w:t>跨度每跨过1米，请务必确保承受的卷（带）钢货物重量小于4.5吨）。</w:t>
      </w:r>
    </w:p>
    <w:p>
      <w:pPr>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ab/>
      </w:r>
      <w:r>
        <w:rPr>
          <w:rFonts w:hint="eastAsia" w:asciiTheme="minorEastAsia" w:hAnsiTheme="minorEastAsia"/>
          <w:szCs w:val="21"/>
        </w:rPr>
        <w:tab/>
      </w:r>
      <w:r>
        <w:rPr>
          <w:rFonts w:hint="eastAsia" w:asciiTheme="minorEastAsia" w:hAnsiTheme="minorEastAsia"/>
          <w:szCs w:val="21"/>
        </w:rPr>
        <w:t xml:space="preserve"> 除非客户确保使用钢制托盘作为卷（带）钢货物装箱的衬垫，否则禁止在20GP干</w:t>
      </w:r>
    </w:p>
    <w:p>
      <w:pPr>
        <w:ind w:left="105" w:firstLine="1260" w:firstLineChars="600"/>
        <w:rPr>
          <w:rFonts w:asciiTheme="minorEastAsia" w:hAnsiTheme="minorEastAsia"/>
          <w:szCs w:val="21"/>
        </w:rPr>
      </w:pPr>
      <w:r>
        <w:rPr>
          <w:rFonts w:hint="eastAsia" w:asciiTheme="minorEastAsia" w:hAnsiTheme="minorEastAsia"/>
          <w:szCs w:val="21"/>
        </w:rPr>
        <w:t>货箱内承运单卷重量大于8吨的卷（带）钢货物。</w:t>
      </w:r>
    </w:p>
    <w:p>
      <w:pPr>
        <w:ind w:left="420" w:firstLine="945" w:firstLineChars="450"/>
        <w:rPr>
          <w:rFonts w:asciiTheme="minorEastAsia" w:hAnsiTheme="minorEastAsia"/>
          <w:szCs w:val="21"/>
        </w:rPr>
      </w:pPr>
      <w:r>
        <w:rPr>
          <w:rFonts w:hint="eastAsia" w:asciiTheme="minorEastAsia" w:hAnsiTheme="minorEastAsia"/>
          <w:szCs w:val="21"/>
        </w:rPr>
        <w:t>通过合理绑扎确保在装卸、运输期间卷（带）钢货物在集装箱内不会有任何滚动、滑</w:t>
      </w:r>
    </w:p>
    <w:p>
      <w:pPr>
        <w:ind w:left="420" w:firstLine="945" w:firstLineChars="450"/>
        <w:rPr>
          <w:rFonts w:asciiTheme="minorEastAsia" w:hAnsiTheme="minorEastAsia"/>
          <w:szCs w:val="21"/>
        </w:rPr>
      </w:pPr>
      <w:r>
        <w:rPr>
          <w:rFonts w:hint="eastAsia" w:asciiTheme="minorEastAsia" w:hAnsiTheme="minorEastAsia"/>
          <w:szCs w:val="21"/>
        </w:rPr>
        <w:t>动。</w:t>
      </w: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r>
        <w:rPr>
          <w:rFonts w:hint="eastAsia" w:ascii="宋体" w:hAnsi="宋体" w:cs="宋体"/>
          <w:color w:val="3E3E3E"/>
          <w:szCs w:val="21"/>
        </w:rPr>
        <w:t>D:   20GP干货箱内的绑扎铃环是有强度限制的，底板绑扎铃环的强度是每个2吨，立柱上的绑扎铃环强度是每个1.5吨。</w:t>
      </w:r>
    </w:p>
    <w:p>
      <w:pPr>
        <w:widowControl/>
        <w:shd w:val="clear" w:color="auto" w:fill="FFFFFF"/>
        <w:spacing w:before="100" w:beforeAutospacing="1" w:after="100" w:afterAutospacing="1"/>
        <w:ind w:left="1365" w:leftChars="400" w:hanging="525" w:hangingChars="250"/>
        <w:contextualSpacing/>
        <w:jc w:val="left"/>
        <w:rPr>
          <w:rFonts w:ascii="宋体" w:hAnsi="宋体" w:cs="宋体"/>
          <w:color w:val="3E3E3E"/>
          <w:szCs w:val="21"/>
        </w:rPr>
      </w:pPr>
    </w:p>
    <w:p>
      <w:pPr>
        <w:widowControl/>
        <w:shd w:val="clear" w:color="auto" w:fill="FFFFFF"/>
        <w:spacing w:before="100" w:beforeAutospacing="1" w:after="100" w:afterAutospacing="1"/>
        <w:ind w:left="1575" w:leftChars="400" w:hanging="735" w:hangingChars="350"/>
        <w:contextualSpacing/>
        <w:jc w:val="left"/>
        <w:rPr>
          <w:rFonts w:ascii="宋体" w:hAnsi="宋体" w:cs="宋体"/>
          <w:color w:val="3E3E3E"/>
          <w:szCs w:val="21"/>
        </w:rPr>
      </w:pPr>
      <w:r>
        <w:rPr>
          <w:rFonts w:hint="eastAsia" w:ascii="宋体" w:hAnsi="宋体" w:cs="宋体"/>
          <w:color w:val="3E3E3E"/>
          <w:szCs w:val="21"/>
        </w:rPr>
        <w:t>E:   20GP干货箱的箱壁钢板的平均厚度仅2MM左右。其强度是非</w:t>
      </w:r>
    </w:p>
    <w:p>
      <w:pPr>
        <w:widowControl/>
        <w:shd w:val="clear" w:color="auto" w:fill="FFFFFF"/>
        <w:spacing w:before="100" w:beforeAutospacing="1" w:after="100" w:afterAutospacing="1"/>
        <w:ind w:left="1648" w:leftChars="685" w:hanging="210" w:hangingChars="100"/>
        <w:contextualSpacing/>
        <w:jc w:val="left"/>
        <w:rPr>
          <w:rFonts w:ascii="宋体" w:hAnsi="宋体" w:cs="宋体"/>
          <w:color w:val="3E3E3E"/>
          <w:szCs w:val="21"/>
        </w:rPr>
      </w:pPr>
      <w:r>
        <w:rPr>
          <w:rFonts w:hint="eastAsia" w:ascii="宋体" w:hAnsi="宋体" w:cs="宋体"/>
          <w:color w:val="3E3E3E"/>
          <w:szCs w:val="21"/>
        </w:rPr>
        <w:t>常小，不能用来支撑或防止卷（带）钢货物的移动。</w:t>
      </w:r>
    </w:p>
    <w:p>
      <w:pPr>
        <w:widowControl/>
        <w:shd w:val="clear" w:color="auto" w:fill="FFFFFF"/>
        <w:spacing w:before="100" w:beforeAutospacing="1" w:after="100" w:afterAutospacing="1"/>
        <w:ind w:left="1648" w:leftChars="685" w:hanging="210" w:hangingChars="100"/>
        <w:contextualSpacing/>
        <w:jc w:val="left"/>
        <w:rPr>
          <w:rFonts w:ascii="宋体" w:hAnsi="宋体" w:cs="宋体"/>
          <w:color w:val="3E3E3E"/>
          <w:szCs w:val="21"/>
        </w:rPr>
      </w:pPr>
    </w:p>
    <w:p>
      <w:pPr>
        <w:widowControl/>
        <w:shd w:val="clear" w:color="auto" w:fill="FFFFFF"/>
        <w:spacing w:before="100" w:beforeAutospacing="1" w:after="100" w:afterAutospacing="1"/>
        <w:ind w:left="1575" w:leftChars="400" w:hanging="735" w:hangingChars="350"/>
        <w:contextualSpacing/>
        <w:jc w:val="left"/>
        <w:rPr>
          <w:rFonts w:ascii="宋体" w:hAnsi="宋体" w:cs="宋体"/>
          <w:color w:val="3E3E3E"/>
          <w:szCs w:val="21"/>
        </w:rPr>
      </w:pPr>
      <w:r>
        <w:rPr>
          <w:rFonts w:hint="eastAsia" w:ascii="宋体" w:hAnsi="宋体" w:cs="宋体"/>
          <w:color w:val="3E3E3E"/>
          <w:szCs w:val="21"/>
        </w:rPr>
        <w:t>针对以上两点，要求卷（带）钢货物在箱内绑扎必须增加绑扎道数，以便使得单根绑扎</w:t>
      </w:r>
    </w:p>
    <w:p>
      <w:pPr>
        <w:widowControl/>
        <w:shd w:val="clear" w:color="auto" w:fill="FFFFFF"/>
        <w:spacing w:before="100" w:beforeAutospacing="1" w:after="100" w:afterAutospacing="1"/>
        <w:ind w:left="1575" w:leftChars="400" w:hanging="735" w:hangingChars="350"/>
        <w:contextualSpacing/>
        <w:jc w:val="left"/>
        <w:rPr>
          <w:rFonts w:ascii="宋体" w:hAnsi="宋体" w:cs="宋体"/>
          <w:color w:val="3E3E3E"/>
          <w:szCs w:val="21"/>
        </w:rPr>
      </w:pPr>
      <w:r>
        <w:rPr>
          <w:rFonts w:hint="eastAsia" w:ascii="宋体" w:hAnsi="宋体" w:cs="宋体"/>
          <w:color w:val="3E3E3E"/>
          <w:szCs w:val="21"/>
        </w:rPr>
        <w:t>的拉力小于箱内绑扎铃环的强度。同时避免用集装箱箱壁来支撑或防止卷（带）钢货物</w:t>
      </w:r>
    </w:p>
    <w:p>
      <w:pPr>
        <w:widowControl/>
        <w:shd w:val="clear" w:color="auto" w:fill="FFFFFF"/>
        <w:spacing w:before="100" w:beforeAutospacing="1" w:after="100" w:afterAutospacing="1"/>
        <w:ind w:left="1575" w:leftChars="400" w:hanging="735" w:hangingChars="350"/>
        <w:contextualSpacing/>
        <w:jc w:val="left"/>
        <w:rPr>
          <w:rFonts w:ascii="宋体" w:hAnsi="宋体" w:cs="宋体"/>
          <w:color w:val="3E3E3E"/>
          <w:szCs w:val="21"/>
        </w:rPr>
      </w:pPr>
      <w:r>
        <w:rPr>
          <w:rFonts w:hint="eastAsia" w:ascii="宋体" w:hAnsi="宋体" w:cs="宋体"/>
          <w:color w:val="3E3E3E"/>
          <w:szCs w:val="21"/>
        </w:rPr>
        <w:t>的移动。</w:t>
      </w:r>
    </w:p>
    <w:p>
      <w:pPr>
        <w:tabs>
          <w:tab w:val="left" w:pos="1620"/>
        </w:tabs>
        <w:rPr>
          <w:rFonts w:asciiTheme="minorEastAsia" w:hAnsiTheme="minorEastAsia" w:eastAsiaTheme="minorEastAsia"/>
          <w:szCs w:val="21"/>
        </w:rPr>
      </w:pPr>
    </w:p>
    <w:p>
      <w:pPr>
        <w:pStyle w:val="11"/>
        <w:numPr>
          <w:ilvl w:val="0"/>
          <w:numId w:val="3"/>
        </w:numPr>
        <w:rPr>
          <w:rFonts w:asciiTheme="minorEastAsia" w:hAnsiTheme="minorEastAsia" w:eastAsiaTheme="minorEastAsia"/>
          <w:b/>
          <w:bCs/>
          <w:color w:val="000000" w:themeColor="text1"/>
          <w:szCs w:val="21"/>
          <w:lang w:eastAsia="ko-KR"/>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 卷（带）钢货物装箱（2</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英尺G</w:t>
      </w:r>
      <w:r>
        <w:rPr>
          <w:rFonts w:asciiTheme="minorEastAsia" w:hAnsiTheme="minorEastAsia" w:eastAsiaTheme="minorEastAsia"/>
          <w:color w:val="000000" w:themeColor="text1"/>
          <w:szCs w:val="21"/>
          <w14:textFill>
            <w14:solidFill>
              <w14:schemeClr w14:val="tx1"/>
            </w14:solidFill>
          </w14:textFill>
        </w:rPr>
        <w:t>P</w:t>
      </w:r>
      <w:r>
        <w:rPr>
          <w:rFonts w:hint="eastAsia" w:asciiTheme="minorEastAsia" w:hAnsiTheme="minorEastAsia" w:eastAsiaTheme="minorEastAsia"/>
          <w:color w:val="000000" w:themeColor="text1"/>
          <w:szCs w:val="21"/>
          <w14:textFill>
            <w14:solidFill>
              <w14:schemeClr w14:val="tx1"/>
            </w14:solidFill>
          </w14:textFill>
        </w:rPr>
        <w:t>干货箱）衬垫、绑扎方式建议</w:t>
      </w:r>
    </w:p>
    <w:p>
      <w:pPr>
        <w:pStyle w:val="11"/>
        <w:ind w:left="210" w:leftChars="100"/>
        <w:rPr>
          <w:rFonts w:asciiTheme="minorEastAsia" w:hAnsiTheme="minorEastAsia" w:eastAsiaTheme="minorEastAsia"/>
          <w:color w:val="000000" w:themeColor="text1"/>
          <w:szCs w:val="21"/>
          <w14:textFill>
            <w14:solidFill>
              <w14:schemeClr w14:val="tx1"/>
            </w14:solidFill>
          </w14:textFill>
        </w:rPr>
      </w:pPr>
    </w:p>
    <w:p>
      <w:pPr>
        <w:pStyle w:val="11"/>
        <w:ind w:left="420" w:leftChars="200"/>
        <w:rPr>
          <w:rFonts w:asciiTheme="minorEastAsia" w:hAnsiTheme="minorEastAsia" w:eastAsiaTheme="minorEastAsia"/>
          <w:bCs/>
          <w:color w:val="000000" w:themeColor="text1"/>
          <w:szCs w:val="21"/>
          <w:lang w:eastAsia="ko-KR"/>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注:以下</w:t>
      </w:r>
      <w:r>
        <w:rPr>
          <w:rFonts w:hint="eastAsia" w:asciiTheme="minorEastAsia" w:hAnsiTheme="minorEastAsia" w:eastAsiaTheme="minorEastAsia"/>
          <w:bCs/>
          <w:color w:val="000000" w:themeColor="text1"/>
          <w:szCs w:val="21"/>
          <w:lang w:eastAsia="ko-KR"/>
          <w14:textFill>
            <w14:solidFill>
              <w14:schemeClr w14:val="tx1"/>
            </w14:solidFill>
          </w14:textFill>
        </w:rPr>
        <w:t>卷</w:t>
      </w:r>
      <w:r>
        <w:rPr>
          <w:rFonts w:hint="eastAsia" w:asciiTheme="minorEastAsia" w:hAnsiTheme="minorEastAsia" w:eastAsiaTheme="minorEastAsia"/>
          <w:bCs/>
          <w:color w:val="000000" w:themeColor="text1"/>
          <w:szCs w:val="21"/>
          <w14:textFill>
            <w14:solidFill>
              <w14:schemeClr w14:val="tx1"/>
            </w14:solidFill>
          </w14:textFill>
        </w:rPr>
        <w:t>带</w:t>
      </w:r>
      <w:r>
        <w:rPr>
          <w:rFonts w:hint="eastAsia" w:asciiTheme="minorEastAsia" w:hAnsiTheme="minorEastAsia" w:eastAsiaTheme="minorEastAsia"/>
          <w:bCs/>
          <w:color w:val="000000" w:themeColor="text1"/>
          <w:szCs w:val="21"/>
          <w:lang w:eastAsia="ko-KR"/>
          <w14:textFill>
            <w14:solidFill>
              <w14:schemeClr w14:val="tx1"/>
            </w14:solidFill>
          </w14:textFill>
        </w:rPr>
        <w:t>钢</w:t>
      </w:r>
      <w:r>
        <w:rPr>
          <w:rFonts w:hint="eastAsia" w:asciiTheme="minorEastAsia" w:hAnsiTheme="minorEastAsia" w:eastAsiaTheme="minorEastAsia"/>
          <w:bCs/>
          <w:color w:val="000000" w:themeColor="text1"/>
          <w:szCs w:val="21"/>
          <w14:textFill>
            <w14:solidFill>
              <w14:schemeClr w14:val="tx1"/>
            </w14:solidFill>
          </w14:textFill>
        </w:rPr>
        <w:t>货物衬垫</w:t>
      </w:r>
      <w:r>
        <w:rPr>
          <w:rFonts w:hint="eastAsia" w:asciiTheme="minorEastAsia" w:hAnsiTheme="minorEastAsia" w:eastAsiaTheme="minorEastAsia"/>
          <w:bCs/>
          <w:color w:val="000000" w:themeColor="text1"/>
          <w:szCs w:val="21"/>
          <w:lang w:eastAsia="ko-KR"/>
          <w14:textFill>
            <w14:solidFill>
              <w14:schemeClr w14:val="tx1"/>
            </w14:solidFill>
          </w14:textFill>
        </w:rPr>
        <w:t>绑扎建议，适用于</w:t>
      </w:r>
      <w:r>
        <w:rPr>
          <w:rFonts w:hint="eastAsia" w:asciiTheme="minorEastAsia" w:hAnsiTheme="minorEastAsia" w:eastAsiaTheme="minorEastAsia"/>
          <w:bCs/>
          <w:color w:val="000000" w:themeColor="text1"/>
          <w:szCs w:val="21"/>
          <w14:textFill>
            <w14:solidFill>
              <w14:schemeClr w14:val="tx1"/>
            </w14:solidFill>
          </w14:textFill>
        </w:rPr>
        <w:t>上海泛亚航运承接</w:t>
      </w:r>
      <w:r>
        <w:rPr>
          <w:rFonts w:hint="eastAsia" w:asciiTheme="minorEastAsia" w:hAnsiTheme="minorEastAsia" w:eastAsiaTheme="minorEastAsia"/>
          <w:bCs/>
          <w:color w:val="000000" w:themeColor="text1"/>
          <w:szCs w:val="21"/>
          <w:lang w:eastAsia="ko-KR"/>
          <w14:textFill>
            <w14:solidFill>
              <w14:schemeClr w14:val="tx1"/>
            </w14:solidFill>
          </w14:textFill>
        </w:rPr>
        <w:t>的卷</w:t>
      </w:r>
      <w:r>
        <w:rPr>
          <w:rFonts w:hint="eastAsia" w:asciiTheme="minorEastAsia" w:hAnsiTheme="minorEastAsia" w:eastAsiaTheme="minorEastAsia"/>
          <w:bCs/>
          <w:color w:val="000000" w:themeColor="text1"/>
          <w:szCs w:val="21"/>
          <w14:textFill>
            <w14:solidFill>
              <w14:schemeClr w14:val="tx1"/>
            </w14:solidFill>
          </w14:textFill>
        </w:rPr>
        <w:t>带</w:t>
      </w:r>
      <w:r>
        <w:rPr>
          <w:rFonts w:hint="eastAsia" w:asciiTheme="minorEastAsia" w:hAnsiTheme="minorEastAsia" w:eastAsiaTheme="minorEastAsia"/>
          <w:bCs/>
          <w:color w:val="000000" w:themeColor="text1"/>
          <w:szCs w:val="21"/>
          <w:lang w:eastAsia="ko-KR"/>
          <w14:textFill>
            <w14:solidFill>
              <w14:schemeClr w14:val="tx1"/>
            </w14:solidFill>
          </w14:textFill>
        </w:rPr>
        <w:t>钢</w:t>
      </w:r>
      <w:r>
        <w:rPr>
          <w:rFonts w:hint="eastAsia" w:asciiTheme="minorEastAsia" w:hAnsiTheme="minorEastAsia" w:eastAsiaTheme="minorEastAsia"/>
          <w:bCs/>
          <w:color w:val="000000" w:themeColor="text1"/>
          <w:szCs w:val="21"/>
          <w14:textFill>
            <w14:solidFill>
              <w14:schemeClr w14:val="tx1"/>
            </w14:solidFill>
          </w14:textFill>
        </w:rPr>
        <w:t>货物。</w:t>
      </w:r>
      <w:r>
        <w:rPr>
          <w:rFonts w:hint="eastAsia" w:asciiTheme="minorEastAsia" w:hAnsiTheme="minorEastAsia" w:eastAsiaTheme="minorEastAsia"/>
          <w:bCs/>
          <w:color w:val="000000" w:themeColor="text1"/>
          <w:szCs w:val="21"/>
          <w:lang w:eastAsia="ko-KR"/>
          <w14:textFill>
            <w14:solidFill>
              <w14:schemeClr w14:val="tx1"/>
            </w14:solidFill>
          </w14:textFill>
        </w:rPr>
        <w:t>由于</w:t>
      </w:r>
      <w:r>
        <w:rPr>
          <w:rFonts w:hint="eastAsia" w:asciiTheme="minorEastAsia" w:hAnsiTheme="minorEastAsia" w:eastAsiaTheme="minorEastAsia"/>
          <w:bCs/>
          <w:color w:val="000000" w:themeColor="text1"/>
          <w:szCs w:val="21"/>
          <w14:textFill>
            <w14:solidFill>
              <w14:schemeClr w14:val="tx1"/>
            </w14:solidFill>
          </w14:textFill>
        </w:rPr>
        <w:t>我司无法准确掌握客户</w:t>
      </w:r>
      <w:r>
        <w:rPr>
          <w:rFonts w:hint="eastAsia" w:asciiTheme="minorEastAsia" w:hAnsiTheme="minorEastAsia" w:eastAsiaTheme="minorEastAsia"/>
          <w:bCs/>
          <w:color w:val="000000" w:themeColor="text1"/>
          <w:szCs w:val="21"/>
          <w:lang w:eastAsia="ko-KR"/>
          <w14:textFill>
            <w14:solidFill>
              <w14:schemeClr w14:val="tx1"/>
            </w14:solidFill>
          </w14:textFill>
        </w:rPr>
        <w:t>选用的</w:t>
      </w:r>
      <w:r>
        <w:rPr>
          <w:rFonts w:hint="eastAsia" w:asciiTheme="minorEastAsia" w:hAnsiTheme="minorEastAsia" w:eastAsiaTheme="minorEastAsia"/>
          <w:bCs/>
          <w:color w:val="000000" w:themeColor="text1"/>
          <w:szCs w:val="21"/>
          <w14:textFill>
            <w14:solidFill>
              <w14:schemeClr w14:val="tx1"/>
            </w14:solidFill>
          </w14:textFill>
        </w:rPr>
        <w:t>衬垫及绑扎</w:t>
      </w:r>
      <w:r>
        <w:rPr>
          <w:rFonts w:hint="eastAsia" w:asciiTheme="minorEastAsia" w:hAnsiTheme="minorEastAsia" w:eastAsiaTheme="minorEastAsia"/>
          <w:bCs/>
          <w:color w:val="000000" w:themeColor="text1"/>
          <w:szCs w:val="21"/>
          <w:lang w:eastAsia="ko-KR"/>
          <w14:textFill>
            <w14:solidFill>
              <w14:schemeClr w14:val="tx1"/>
            </w14:solidFill>
          </w14:textFill>
        </w:rPr>
        <w:t>材料</w:t>
      </w: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bCs/>
          <w:color w:val="000000" w:themeColor="text1"/>
          <w:szCs w:val="21"/>
          <w:lang w:eastAsia="ko-KR"/>
          <w14:textFill>
            <w14:solidFill>
              <w14:schemeClr w14:val="tx1"/>
            </w14:solidFill>
          </w14:textFill>
        </w:rPr>
        <w:t>质量，</w:t>
      </w:r>
      <w:r>
        <w:rPr>
          <w:rFonts w:hint="eastAsia" w:asciiTheme="minorEastAsia" w:hAnsiTheme="minorEastAsia" w:eastAsiaTheme="minorEastAsia"/>
          <w:bCs/>
          <w:color w:val="000000" w:themeColor="text1"/>
          <w:szCs w:val="21"/>
          <w14:textFill>
            <w14:solidFill>
              <w14:schemeClr w14:val="tx1"/>
            </w14:solidFill>
          </w14:textFill>
        </w:rPr>
        <w:t>所以上海泛亚</w:t>
      </w:r>
      <w:r>
        <w:rPr>
          <w:rFonts w:hint="eastAsia" w:asciiTheme="minorEastAsia" w:hAnsiTheme="minorEastAsia" w:eastAsiaTheme="minorEastAsia"/>
          <w:bCs/>
          <w:color w:val="000000" w:themeColor="text1"/>
          <w:szCs w:val="21"/>
          <w:lang w:eastAsia="ko-KR"/>
          <w14:textFill>
            <w14:solidFill>
              <w14:schemeClr w14:val="tx1"/>
            </w14:solidFill>
          </w14:textFill>
        </w:rPr>
        <w:t>并不负责由此带来的任何风险</w:t>
      </w:r>
      <w:r>
        <w:rPr>
          <w:rFonts w:hint="eastAsia" w:asciiTheme="minorEastAsia" w:hAnsiTheme="minorEastAsia" w:eastAsiaTheme="minorEastAsia"/>
          <w:bCs/>
          <w:color w:val="000000" w:themeColor="text1"/>
          <w:szCs w:val="21"/>
          <w14:textFill>
            <w14:solidFill>
              <w14:schemeClr w14:val="tx1"/>
            </w14:solidFill>
          </w14:textFill>
        </w:rPr>
        <w:t>、责任、费用。</w:t>
      </w:r>
    </w:p>
    <w:p>
      <w:pPr>
        <w:pStyle w:val="11"/>
        <w:tabs>
          <w:tab w:val="left" w:pos="1620"/>
        </w:tabs>
        <w:ind w:left="420"/>
        <w:rPr>
          <w:rFonts w:asciiTheme="minorEastAsia" w:hAnsiTheme="minorEastAsia" w:eastAsiaTheme="minorEastAsia"/>
          <w:szCs w:val="21"/>
        </w:rPr>
      </w:pPr>
    </w:p>
    <w:p>
      <w:pPr>
        <w:pStyle w:val="11"/>
        <w:numPr>
          <w:ilvl w:val="0"/>
          <w:numId w:val="4"/>
        </w:numPr>
        <w:rPr>
          <w:rFonts w:asciiTheme="minorEastAsia" w:hAnsiTheme="minorEastAsia" w:eastAsiaTheme="minorEastAsia"/>
          <w:szCs w:val="21"/>
        </w:rPr>
      </w:pPr>
      <w:r>
        <w:rPr>
          <w:rFonts w:hint="eastAsia" w:asciiTheme="minorEastAsia" w:hAnsiTheme="minorEastAsia" w:eastAsiaTheme="minorEastAsia"/>
          <w:szCs w:val="21"/>
        </w:rPr>
        <w:t>卷钢货物</w:t>
      </w:r>
    </w:p>
    <w:p>
      <w:pPr>
        <w:pStyle w:val="11"/>
        <w:ind w:left="785"/>
        <w:rPr>
          <w:rFonts w:asciiTheme="minorEastAsia" w:hAnsiTheme="minorEastAsia" w:eastAsiaTheme="minorEastAsia"/>
          <w:szCs w:val="21"/>
        </w:rPr>
      </w:pPr>
    </w:p>
    <w:p>
      <w:pPr>
        <w:tabs>
          <w:tab w:val="left" w:pos="1620"/>
        </w:tabs>
        <w:ind w:left="785"/>
        <w:rPr>
          <w:rFonts w:asciiTheme="minorEastAsia" w:hAnsiTheme="minorEastAsia" w:eastAsiaTheme="minorEastAsia"/>
          <w:szCs w:val="21"/>
        </w:rPr>
      </w:pPr>
      <w:r>
        <w:rPr>
          <w:rFonts w:asciiTheme="minorEastAsia" w:hAnsiTheme="minorEastAsia" w:eastAsiaTheme="minorEastAsia"/>
          <w:szCs w:val="21"/>
        </w:rPr>
        <w:t xml:space="preserve">A, </w:t>
      </w:r>
      <w:r>
        <w:rPr>
          <w:rFonts w:hint="eastAsia" w:asciiTheme="minorEastAsia" w:hAnsiTheme="minorEastAsia" w:eastAsiaTheme="minorEastAsia"/>
          <w:szCs w:val="21"/>
        </w:rPr>
        <w:t>卷钢眼朝向集装箱左右装箱。</w:t>
      </w:r>
    </w:p>
    <w:p>
      <w:pPr>
        <w:tabs>
          <w:tab w:val="left" w:pos="1620"/>
        </w:tabs>
        <w:ind w:left="785"/>
        <w:rPr>
          <w:rFonts w:asciiTheme="minorEastAsia" w:hAnsiTheme="minorEastAsia" w:eastAsiaTheme="minorEastAsia"/>
          <w:szCs w:val="21"/>
        </w:rPr>
      </w:pPr>
      <w:r>
        <w:rPr>
          <w:rFonts w:hint="eastAsia" w:asciiTheme="minorEastAsia" w:hAnsiTheme="minorEastAsia" w:eastAsiaTheme="minorEastAsia"/>
          <w:szCs w:val="21"/>
        </w:rPr>
        <w:t>这种装箱方式对于卷钢的衬垫要求比较高，除非客户可以提供如下图例示意的钢制专用托盘作为衬垫，否则不推荐客户使用卷钢眼朝向集装箱左右的方式装箱。</w:t>
      </w:r>
    </w:p>
    <w:p>
      <w:pPr>
        <w:tabs>
          <w:tab w:val="left" w:pos="1620"/>
        </w:tabs>
        <w:ind w:left="785"/>
        <w:rPr>
          <w:rFonts w:asciiTheme="minorEastAsia" w:hAnsiTheme="minorEastAsia" w:eastAsiaTheme="minorEastAsia"/>
          <w:szCs w:val="21"/>
        </w:rPr>
      </w:pP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对于卷钢眼朝向集装箱左右装箱方式的其它要求请参上述第二）点《操作须知》阐述的</w:t>
      </w:r>
    </w:p>
    <w:p>
      <w:pPr>
        <w:tabs>
          <w:tab w:val="left" w:pos="1620"/>
        </w:tabs>
        <w:ind w:left="785"/>
        <w:rPr>
          <w:rFonts w:asciiTheme="minorEastAsia" w:hAnsiTheme="minorEastAsia" w:eastAsiaTheme="minorEastAsia"/>
          <w:szCs w:val="21"/>
        </w:rPr>
      </w:pPr>
      <w:r>
        <w:rPr>
          <w:rFonts w:hint="eastAsia" w:asciiTheme="minorEastAsia" w:hAnsiTheme="minorEastAsia" w:eastAsiaTheme="minorEastAsia"/>
          <w:szCs w:val="21"/>
        </w:rPr>
        <w:t>相关要求。</w:t>
      </w:r>
    </w:p>
    <w:p>
      <w:pPr>
        <w:tabs>
          <w:tab w:val="left" w:pos="1620"/>
        </w:tabs>
        <w:ind w:left="785"/>
        <w:rPr>
          <w:rFonts w:asciiTheme="minorEastAsia" w:hAnsiTheme="minorEastAsia" w:eastAsiaTheme="minorEastAsia"/>
          <w:szCs w:val="21"/>
        </w:rPr>
      </w:pPr>
    </w:p>
    <w:p>
      <w:pPr>
        <w:tabs>
          <w:tab w:val="left" w:pos="1620"/>
        </w:tabs>
        <w:ind w:left="785"/>
        <w:rPr>
          <w:rFonts w:asciiTheme="minorEastAsia" w:hAnsiTheme="minorEastAsia" w:eastAsiaTheme="minorEastAsia"/>
          <w:szCs w:val="21"/>
        </w:rPr>
      </w:pPr>
      <w:r>
        <w:rPr>
          <w:rFonts w:ascii="宋体" w:hAnsi="宋体" w:cs="宋体"/>
          <w:color w:val="3E3E3E"/>
          <w:szCs w:val="21"/>
        </w:rPr>
        <w:drawing>
          <wp:inline distT="0" distB="0" distL="0" distR="0">
            <wp:extent cx="2583180" cy="150939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91129" cy="1514469"/>
                    </a:xfrm>
                    <a:prstGeom prst="rect">
                      <a:avLst/>
                    </a:prstGeom>
                    <a:noFill/>
                    <a:ln>
                      <a:noFill/>
                    </a:ln>
                  </pic:spPr>
                </pic:pic>
              </a:graphicData>
            </a:graphic>
          </wp:inline>
        </w:drawing>
      </w:r>
      <w:r>
        <w:rPr>
          <w:rFonts w:ascii="宋体" w:hAnsi="宋体" w:cs="宋体"/>
          <w:color w:val="3E3E3E"/>
          <w:szCs w:val="21"/>
        </w:rPr>
        <w:drawing>
          <wp:inline distT="0" distB="0" distL="0" distR="0">
            <wp:extent cx="2508250" cy="149796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30265" cy="1511142"/>
                    </a:xfrm>
                    <a:prstGeom prst="rect">
                      <a:avLst/>
                    </a:prstGeom>
                    <a:noFill/>
                    <a:ln>
                      <a:noFill/>
                    </a:ln>
                  </pic:spPr>
                </pic:pic>
              </a:graphicData>
            </a:graphic>
          </wp:inline>
        </w:drawing>
      </w:r>
    </w:p>
    <w:p>
      <w:pPr>
        <w:tabs>
          <w:tab w:val="left" w:pos="1620"/>
        </w:tabs>
        <w:ind w:left="785"/>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2582545" cy="2009140"/>
            <wp:effectExtent l="0" t="0" r="825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620298" cy="2038775"/>
                    </a:xfrm>
                    <a:prstGeom prst="rect">
                      <a:avLst/>
                    </a:prstGeom>
                  </pic:spPr>
                </pic:pic>
              </a:graphicData>
            </a:graphic>
          </wp:inline>
        </w:drawing>
      </w:r>
      <w:r>
        <w:rPr>
          <w:rFonts w:asciiTheme="minorEastAsia" w:hAnsiTheme="minorEastAsia" w:eastAsiaTheme="minorEastAsia"/>
          <w:szCs w:val="21"/>
        </w:rPr>
        <w:drawing>
          <wp:inline distT="0" distB="0" distL="0" distR="0">
            <wp:extent cx="2540635" cy="1977390"/>
            <wp:effectExtent l="0" t="0" r="1206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2561367" cy="1993794"/>
                    </a:xfrm>
                    <a:prstGeom prst="rect">
                      <a:avLst/>
                    </a:prstGeom>
                  </pic:spPr>
                </pic:pic>
              </a:graphicData>
            </a:graphic>
          </wp:inline>
        </w:drawing>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B, </w:t>
      </w:r>
      <w:r>
        <w:rPr>
          <w:rFonts w:hint="eastAsia" w:asciiTheme="minorEastAsia" w:hAnsiTheme="minorEastAsia" w:eastAsiaTheme="minorEastAsia"/>
          <w:szCs w:val="21"/>
        </w:rPr>
        <w:t>卷钢眼朝向集装箱前后装箱。</w:t>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这种装箱方式比较适合2</w:t>
      </w:r>
      <w:r>
        <w:rPr>
          <w:rFonts w:asciiTheme="minorEastAsia" w:hAnsiTheme="minorEastAsia" w:eastAsiaTheme="minorEastAsia"/>
          <w:szCs w:val="21"/>
        </w:rPr>
        <w:t>0</w:t>
      </w:r>
      <w:r>
        <w:rPr>
          <w:rFonts w:hint="eastAsia" w:asciiTheme="minorEastAsia" w:hAnsiTheme="minorEastAsia" w:eastAsiaTheme="minorEastAsia"/>
          <w:szCs w:val="21"/>
        </w:rPr>
        <w:t>英尺G</w:t>
      </w:r>
      <w:r>
        <w:rPr>
          <w:rFonts w:asciiTheme="minorEastAsia" w:hAnsiTheme="minorEastAsia" w:eastAsiaTheme="minorEastAsia"/>
          <w:szCs w:val="21"/>
        </w:rPr>
        <w:t>P</w:t>
      </w:r>
      <w:r>
        <w:rPr>
          <w:rFonts w:hint="eastAsia" w:asciiTheme="minorEastAsia" w:hAnsiTheme="minorEastAsia" w:eastAsiaTheme="minorEastAsia"/>
          <w:szCs w:val="21"/>
        </w:rPr>
        <w:t>干货集装箱的结构，可接受多种尺寸（直径）的卷钢</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货物。</w:t>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p>
    <w:p>
      <w:pPr>
        <w:rPr>
          <w:rFonts w:ascii="宋体" w:hAnsi="宋体" w:cs="宋体"/>
          <w:color w:val="3E3E3E"/>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我司建议客户首选使用钢制托盘作为卷钢货物与集装箱箱地板间的衬垫使得</w:t>
      </w:r>
      <w:r>
        <w:rPr>
          <w:rFonts w:hint="eastAsia" w:ascii="宋体" w:hAnsi="宋体" w:cs="宋体"/>
          <w:color w:val="3E3E3E"/>
          <w:szCs w:val="21"/>
        </w:rPr>
        <w:t>卷钢货物重</w:t>
      </w:r>
    </w:p>
    <w:p>
      <w:pPr>
        <w:ind w:firstLine="844" w:firstLineChars="402"/>
        <w:rPr>
          <w:rFonts w:ascii="宋体" w:hAnsi="宋体" w:cs="宋体"/>
          <w:color w:val="3E3E3E"/>
          <w:szCs w:val="21"/>
        </w:rPr>
      </w:pPr>
      <w:r>
        <w:rPr>
          <w:rFonts w:hint="eastAsia" w:ascii="宋体" w:hAnsi="宋体" w:cs="宋体"/>
          <w:color w:val="3E3E3E"/>
          <w:szCs w:val="21"/>
        </w:rPr>
        <w:t>量尽可能均匀分摊到集装箱箱底槽钢上。</w:t>
      </w:r>
    </w:p>
    <w:p>
      <w:pPr>
        <w:ind w:firstLine="844" w:firstLineChars="402"/>
        <w:rPr>
          <w:rFonts w:ascii="宋体" w:hAnsi="宋体" w:cs="宋体"/>
          <w:color w:val="3E3E3E"/>
          <w:szCs w:val="21"/>
        </w:rPr>
      </w:pPr>
    </w:p>
    <w:p>
      <w:pPr>
        <w:ind w:firstLine="844" w:firstLineChars="402"/>
        <w:rPr>
          <w:rFonts w:asciiTheme="minorEastAsia" w:hAnsiTheme="minorEastAsia"/>
          <w:szCs w:val="21"/>
        </w:rPr>
      </w:pPr>
      <w:r>
        <w:rPr>
          <w:rFonts w:hint="eastAsia" w:asciiTheme="minorEastAsia" w:hAnsiTheme="minorEastAsia" w:eastAsiaTheme="minorEastAsia"/>
          <w:szCs w:val="21"/>
        </w:rPr>
        <w:t>我司建议客户首选使用钢制托盘</w:t>
      </w:r>
      <w:r>
        <w:rPr>
          <w:rFonts w:hint="eastAsia" w:ascii="宋体" w:hAnsi="宋体" w:cs="宋体"/>
          <w:color w:val="3E3E3E"/>
          <w:szCs w:val="21"/>
        </w:rPr>
        <w:t>通过</w:t>
      </w:r>
      <w:r>
        <w:rPr>
          <w:rFonts w:hint="eastAsia" w:asciiTheme="minorEastAsia" w:hAnsiTheme="minorEastAsia"/>
          <w:szCs w:val="21"/>
        </w:rPr>
        <w:t>扩大衬垫与集装箱箱底板间的接触面积确保卷钢货</w:t>
      </w:r>
    </w:p>
    <w:p>
      <w:pPr>
        <w:ind w:firstLine="844" w:firstLineChars="402"/>
        <w:rPr>
          <w:rFonts w:asciiTheme="minorEastAsia" w:hAnsiTheme="minorEastAsia"/>
          <w:szCs w:val="21"/>
        </w:rPr>
      </w:pPr>
      <w:r>
        <w:rPr>
          <w:rFonts w:hint="eastAsia" w:asciiTheme="minorEastAsia" w:hAnsiTheme="minorEastAsia"/>
          <w:szCs w:val="21"/>
        </w:rPr>
        <w:t>物给集装箱箱地板的负荷（压强）满足集装箱设计强度的要求。</w:t>
      </w:r>
    </w:p>
    <w:p>
      <w:pPr>
        <w:ind w:firstLine="844" w:firstLineChars="402"/>
        <w:rPr>
          <w:rFonts w:asciiTheme="minorEastAsia" w:hAnsiTheme="minorEastAsia"/>
          <w:szCs w:val="21"/>
        </w:rPr>
      </w:pPr>
    </w:p>
    <w:p>
      <w:pPr>
        <w:ind w:firstLine="840" w:firstLineChars="400"/>
        <w:rPr>
          <w:rFonts w:asciiTheme="minorEastAsia" w:hAnsiTheme="minorEastAsia"/>
          <w:szCs w:val="21"/>
        </w:rPr>
      </w:pPr>
      <w:r>
        <w:rPr>
          <w:rFonts w:hint="eastAsia" w:asciiTheme="minorEastAsia" w:hAnsiTheme="minorEastAsia" w:eastAsiaTheme="minorEastAsia"/>
          <w:szCs w:val="21"/>
        </w:rPr>
        <w:t>我司建议客户在首选使用钢制托盘的基础上</w:t>
      </w:r>
      <w:r>
        <w:rPr>
          <w:rFonts w:hint="eastAsia" w:asciiTheme="minorEastAsia" w:hAnsiTheme="minorEastAsia"/>
          <w:szCs w:val="21"/>
        </w:rPr>
        <w:t>通过合理绑扎确保在装卸、运输期间卷钢货</w:t>
      </w:r>
    </w:p>
    <w:p>
      <w:pPr>
        <w:ind w:firstLine="840" w:firstLineChars="400"/>
        <w:rPr>
          <w:rFonts w:asciiTheme="minorEastAsia" w:hAnsiTheme="minorEastAsia"/>
          <w:szCs w:val="21"/>
        </w:rPr>
      </w:pPr>
      <w:r>
        <w:rPr>
          <w:rFonts w:hint="eastAsia" w:asciiTheme="minorEastAsia" w:hAnsiTheme="minorEastAsia"/>
          <w:szCs w:val="21"/>
        </w:rPr>
        <w:t>物在集装箱内不会有任何滚动、滑动。</w:t>
      </w:r>
    </w:p>
    <w:p>
      <w:pPr>
        <w:ind w:firstLine="840" w:firstLineChars="400"/>
        <w:rPr>
          <w:rFonts w:asciiTheme="minorEastAsia" w:hAnsiTheme="minorEastAsia"/>
          <w:szCs w:val="21"/>
        </w:rPr>
      </w:pP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对于卷钢眼朝向集装箱前后装箱方式的其它要求请参上述第二）点《操作须知》阐述的</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相关要求。</w:t>
      </w:r>
    </w:p>
    <w:p>
      <w:pPr>
        <w:tabs>
          <w:tab w:val="left" w:pos="1620"/>
        </w:tabs>
        <w:rPr>
          <w:rFonts w:asciiTheme="minorEastAsia" w:hAnsiTheme="minorEastAsia" w:eastAsiaTheme="minorEastAsia"/>
          <w:szCs w:val="21"/>
        </w:rPr>
      </w:pPr>
      <w:r>
        <w:rPr>
          <w:rFonts w:ascii="微软雅黑" w:hAnsi="微软雅黑" w:eastAsia="微软雅黑"/>
          <w:color w:val="000000"/>
          <w:szCs w:val="21"/>
        </w:rPr>
        <w:drawing>
          <wp:inline distT="0" distB="0" distL="0" distR="0">
            <wp:extent cx="5252085" cy="1924050"/>
            <wp:effectExtent l="0" t="0" r="5715" b="0"/>
            <wp:docPr id="8" name="图片 8" descr="cid:image009.jpg@01D62CF3.1D74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9.jpg@01D62CF3.1D74143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a:xfrm>
                      <a:off x="0" y="0"/>
                      <a:ext cx="5324064" cy="1950271"/>
                    </a:xfrm>
                    <a:prstGeom prst="rect">
                      <a:avLst/>
                    </a:prstGeom>
                    <a:noFill/>
                    <a:ln>
                      <a:noFill/>
                    </a:ln>
                  </pic:spPr>
                </pic:pic>
              </a:graphicData>
            </a:graphic>
          </wp:inline>
        </w:drawing>
      </w:r>
    </w:p>
    <w:p>
      <w:pPr>
        <w:tabs>
          <w:tab w:val="left" w:pos="1620"/>
        </w:tabs>
        <w:rPr>
          <w:rFonts w:asciiTheme="minorEastAsia" w:hAnsiTheme="minorEastAsia" w:eastAsiaTheme="minorEastAsia"/>
          <w:szCs w:val="21"/>
        </w:rPr>
      </w:pPr>
      <w:r>
        <w:rPr>
          <w:rFonts w:ascii="微软雅黑" w:hAnsi="微软雅黑" w:eastAsia="微软雅黑"/>
          <w:color w:val="000000"/>
          <w:szCs w:val="21"/>
        </w:rPr>
        <w:drawing>
          <wp:inline distT="0" distB="0" distL="0" distR="0">
            <wp:extent cx="5273040" cy="1828800"/>
            <wp:effectExtent l="0" t="0" r="3810" b="0"/>
            <wp:docPr id="9" name="图片 9" descr="cid:image003.jpg@01D62CF3.1D74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jpg@01D62CF3.1D74143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a:xfrm>
                      <a:off x="0" y="0"/>
                      <a:ext cx="5278639" cy="1830575"/>
                    </a:xfrm>
                    <a:prstGeom prst="rect">
                      <a:avLst/>
                    </a:prstGeom>
                    <a:noFill/>
                    <a:ln>
                      <a:noFill/>
                    </a:ln>
                  </pic:spPr>
                </pic:pic>
              </a:graphicData>
            </a:graphic>
          </wp:inline>
        </w:drawing>
      </w:r>
    </w:p>
    <w:p>
      <w:pPr>
        <w:tabs>
          <w:tab w:val="left" w:pos="1620"/>
        </w:tabs>
        <w:rPr>
          <w:rFonts w:asciiTheme="minorEastAsia" w:hAnsiTheme="minorEastAsia" w:eastAsiaTheme="minorEastAsia"/>
          <w:szCs w:val="21"/>
        </w:rPr>
      </w:pPr>
      <w:r>
        <w:rPr>
          <w:rFonts w:ascii="微软雅黑" w:hAnsi="微软雅黑" w:eastAsia="微软雅黑"/>
          <w:color w:val="000000"/>
          <w:szCs w:val="21"/>
        </w:rPr>
        <w:drawing>
          <wp:inline distT="0" distB="0" distL="0" distR="0">
            <wp:extent cx="5274310" cy="1743075"/>
            <wp:effectExtent l="0" t="0" r="2540" b="9525"/>
            <wp:docPr id="10" name="图片 10" descr="cid:image004.jpg@01D62CF3.1D74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jpg@01D62CF3.1D74143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a:xfrm>
                      <a:off x="0" y="0"/>
                      <a:ext cx="5274310" cy="1743075"/>
                    </a:xfrm>
                    <a:prstGeom prst="rect">
                      <a:avLst/>
                    </a:prstGeom>
                    <a:noFill/>
                    <a:ln>
                      <a:noFill/>
                    </a:ln>
                  </pic:spPr>
                </pic:pic>
              </a:graphicData>
            </a:graphic>
          </wp:inline>
        </w:drawing>
      </w:r>
    </w:p>
    <w:p>
      <w:pPr>
        <w:tabs>
          <w:tab w:val="left" w:pos="1620"/>
        </w:tabs>
        <w:rPr>
          <w:rFonts w:asciiTheme="minorEastAsia" w:hAnsiTheme="minorEastAsia" w:eastAsiaTheme="minorEastAsia"/>
          <w:szCs w:val="21"/>
        </w:rPr>
      </w:pPr>
    </w:p>
    <w:p>
      <w:pPr>
        <w:pStyle w:val="11"/>
        <w:numPr>
          <w:ilvl w:val="0"/>
          <w:numId w:val="4"/>
        </w:num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带钢货物</w:t>
      </w:r>
    </w:p>
    <w:p>
      <w:pPr>
        <w:pStyle w:val="11"/>
        <w:tabs>
          <w:tab w:val="left" w:pos="1620"/>
        </w:tabs>
        <w:ind w:left="785"/>
        <w:rPr>
          <w:rFonts w:asciiTheme="minorEastAsia" w:hAnsiTheme="minorEastAsia" w:eastAsiaTheme="minorEastAsia"/>
          <w:szCs w:val="21"/>
        </w:rPr>
      </w:pPr>
    </w:p>
    <w:p>
      <w:pPr>
        <w:tabs>
          <w:tab w:val="left" w:pos="1620"/>
        </w:tabs>
        <w:ind w:left="785"/>
        <w:rPr>
          <w:rFonts w:asciiTheme="minorEastAsia" w:hAnsiTheme="minorEastAsia" w:eastAsiaTheme="minorEastAsia"/>
          <w:szCs w:val="21"/>
        </w:rPr>
      </w:pPr>
      <w:r>
        <w:rPr>
          <w:rFonts w:asciiTheme="minorEastAsia" w:hAnsiTheme="minorEastAsia" w:eastAsiaTheme="minorEastAsia"/>
          <w:szCs w:val="21"/>
        </w:rPr>
        <w:t xml:space="preserve">A, </w:t>
      </w:r>
      <w:r>
        <w:rPr>
          <w:rFonts w:hint="eastAsia" w:asciiTheme="minorEastAsia" w:hAnsiTheme="minorEastAsia" w:eastAsiaTheme="minorEastAsia"/>
          <w:szCs w:val="21"/>
        </w:rPr>
        <w:t>带钢眼朝向集装箱箱顶装箱。</w:t>
      </w:r>
    </w:p>
    <w:p>
      <w:pPr>
        <w:tabs>
          <w:tab w:val="left" w:pos="1620"/>
        </w:tabs>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带钢眼朝向集装箱箱顶装箱意味着卷钢垂直竖立放置，轴线向上。这种装箱方式一般用</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于小而窄的带钢（类似举重用的杠铃片，即带钢面幅宽度小于带钢卷的直径）。</w:t>
      </w:r>
    </w:p>
    <w:p>
      <w:pPr>
        <w:tabs>
          <w:tab w:val="left" w:pos="1620"/>
        </w:tabs>
        <w:ind w:firstLine="840" w:firstLineChars="400"/>
        <w:rPr>
          <w:rFonts w:asciiTheme="minorEastAsia" w:hAnsiTheme="minorEastAsia" w:eastAsiaTheme="minorEastAsia"/>
          <w:szCs w:val="21"/>
        </w:rPr>
      </w:pPr>
    </w:p>
    <w:p>
      <w:pPr>
        <w:ind w:left="415" w:firstLine="425"/>
        <w:rPr>
          <w:rFonts w:ascii="宋体" w:hAnsi="宋体" w:cs="宋体"/>
          <w:color w:val="3E3E3E"/>
          <w:szCs w:val="21"/>
        </w:rPr>
      </w:pPr>
      <w:r>
        <w:rPr>
          <w:rFonts w:hint="eastAsia" w:asciiTheme="minorEastAsia" w:hAnsiTheme="minorEastAsia" w:eastAsiaTheme="minorEastAsia"/>
          <w:szCs w:val="21"/>
        </w:rPr>
        <w:t>我司建议客户首选使用钢制专用托盘作为带钢货物与集装箱箱地板间的衬垫</w:t>
      </w:r>
      <w:r>
        <w:rPr>
          <w:rFonts w:hint="eastAsia" w:ascii="宋体" w:hAnsi="宋体" w:cs="宋体"/>
          <w:color w:val="3E3E3E"/>
          <w:szCs w:val="21"/>
        </w:rPr>
        <w:t>。</w:t>
      </w:r>
    </w:p>
    <w:p>
      <w:pPr>
        <w:tabs>
          <w:tab w:val="left" w:pos="1620"/>
        </w:tabs>
        <w:ind w:firstLine="840" w:firstLineChars="400"/>
        <w:rPr>
          <w:rFonts w:asciiTheme="minorEastAsia" w:hAnsiTheme="minorEastAsia" w:eastAsiaTheme="minorEastAsia"/>
          <w:szCs w:val="21"/>
        </w:rPr>
      </w:pP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在没有钢制专用托盘前，建议如下：</w:t>
      </w:r>
    </w:p>
    <w:p>
      <w:pPr>
        <w:tabs>
          <w:tab w:val="left" w:pos="1620"/>
        </w:tabs>
        <w:ind w:firstLine="840" w:firstLineChars="400"/>
        <w:rPr>
          <w:rFonts w:asciiTheme="minorEastAsia" w:hAnsiTheme="minorEastAsia" w:eastAsiaTheme="minorEastAsia"/>
          <w:szCs w:val="21"/>
        </w:rPr>
      </w:pP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在集装箱内铺设2根通体长约5</w:t>
      </w:r>
      <w:r>
        <w:rPr>
          <w:rFonts w:asciiTheme="minorEastAsia" w:hAnsiTheme="minorEastAsia" w:eastAsiaTheme="minorEastAsia"/>
          <w:szCs w:val="21"/>
        </w:rPr>
        <w:t>.85</w:t>
      </w:r>
      <w:r>
        <w:rPr>
          <w:rFonts w:hint="eastAsia" w:asciiTheme="minorEastAsia" w:hAnsiTheme="minorEastAsia" w:eastAsiaTheme="minorEastAsia"/>
          <w:szCs w:val="21"/>
        </w:rPr>
        <w:t>米、横截面1</w:t>
      </w:r>
      <w:r>
        <w:rPr>
          <w:rFonts w:asciiTheme="minorEastAsia" w:hAnsiTheme="minorEastAsia" w:eastAsiaTheme="minorEastAsia"/>
          <w:szCs w:val="21"/>
        </w:rPr>
        <w:t>5</w:t>
      </w:r>
      <w:r>
        <w:rPr>
          <w:rFonts w:hint="eastAsia" w:asciiTheme="minorEastAsia" w:hAnsiTheme="minorEastAsia" w:eastAsiaTheme="minorEastAsia"/>
          <w:szCs w:val="21"/>
        </w:rPr>
        <w:t>厘米X</w:t>
      </w:r>
      <w:r>
        <w:rPr>
          <w:rFonts w:asciiTheme="minorEastAsia" w:hAnsiTheme="minorEastAsia" w:eastAsiaTheme="minorEastAsia"/>
          <w:szCs w:val="21"/>
        </w:rPr>
        <w:t>15</w:t>
      </w:r>
      <w:r>
        <w:rPr>
          <w:rFonts w:hint="eastAsia" w:asciiTheme="minorEastAsia" w:hAnsiTheme="minorEastAsia" w:eastAsiaTheme="minorEastAsia"/>
          <w:szCs w:val="21"/>
        </w:rPr>
        <w:t>厘米的木方作为带钢货物与</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集装箱地板间的衬垫（参下述图例1）。</w:t>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上述两根通体木方间需要数道横向刚性连接避免在运输途中木方发生位移、散架、变形</w:t>
      </w:r>
    </w:p>
    <w:p>
      <w:pPr>
        <w:tabs>
          <w:tab w:val="left" w:pos="1620"/>
        </w:tabs>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（参下述图例1）。</w:t>
      </w:r>
    </w:p>
    <w:p>
      <w:pPr>
        <w:tabs>
          <w:tab w:val="left" w:pos="1620"/>
        </w:tabs>
        <w:ind w:firstLine="840" w:firstLineChars="400"/>
        <w:rPr>
          <w:rFonts w:asciiTheme="minorEastAsia" w:hAnsiTheme="minorEastAsia" w:eastAsiaTheme="minorEastAsia"/>
          <w:szCs w:val="21"/>
        </w:rPr>
      </w:pPr>
    </w:p>
    <w:p>
      <w:pPr>
        <w:tabs>
          <w:tab w:val="left" w:pos="1620"/>
        </w:tabs>
        <w:ind w:left="840" w:leftChars="400"/>
        <w:rPr>
          <w:rFonts w:asciiTheme="minorEastAsia" w:hAnsiTheme="minorEastAsia" w:eastAsiaTheme="minorEastAsia"/>
          <w:szCs w:val="21"/>
        </w:rPr>
      </w:pPr>
      <w:r>
        <w:rPr>
          <w:rFonts w:hint="eastAsia" w:asciiTheme="minorEastAsia" w:hAnsiTheme="minorEastAsia" w:eastAsiaTheme="minorEastAsia"/>
          <w:szCs w:val="21"/>
        </w:rPr>
        <w:t>带钢货物积载在2根通体木方托盘上后需要使用木锲块钉在集装箱箱地板上顶住2根通体木方，防止通体木方在运输途中发生整体性滑动、位移（参下述图例2）。</w:t>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p>
    <w:p>
      <w:pPr>
        <w:tabs>
          <w:tab w:val="left" w:pos="1620"/>
        </w:tabs>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带钢货物积载在2根通体木方托盘上后需要使用合格的尼龙绑扎带或直径1</w:t>
      </w:r>
      <w:r>
        <w:rPr>
          <w:rFonts w:asciiTheme="minorEastAsia" w:hAnsiTheme="minorEastAsia" w:eastAsiaTheme="minorEastAsia"/>
          <w:szCs w:val="21"/>
        </w:rPr>
        <w:t>6MM</w:t>
      </w:r>
      <w:r>
        <w:rPr>
          <w:rFonts w:hint="eastAsia" w:asciiTheme="minorEastAsia" w:hAnsiTheme="minorEastAsia" w:eastAsiaTheme="minorEastAsia"/>
          <w:szCs w:val="21"/>
        </w:rPr>
        <w:t>的钢丝绳</w:t>
      </w:r>
    </w:p>
    <w:p>
      <w:pPr>
        <w:tabs>
          <w:tab w:val="left" w:pos="1620"/>
        </w:tabs>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穿过带钢眼连接集装箱内铃环加固绑扎（参下述图例3、4、5）。</w:t>
      </w:r>
    </w:p>
    <w:p>
      <w:pPr>
        <w:tabs>
          <w:tab w:val="left" w:pos="1620"/>
        </w:tabs>
        <w:rPr>
          <w:rFonts w:asciiTheme="minorEastAsia" w:hAnsiTheme="minorEastAsia" w:eastAsiaTheme="minorEastAsia"/>
          <w:szCs w:val="21"/>
        </w:rPr>
      </w:pPr>
    </w:p>
    <w:p>
      <w:pPr>
        <w:rPr>
          <w:sz w:val="32"/>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对于卷钢眼朝向集装箱箱顶装箱方式的其它要求请参上述第二）点《操作须知》阐</w:t>
      </w:r>
    </w:p>
    <w:sectPr>
      <w:headerReference r:id="rId5" w:type="first"/>
      <w:footerReference r:id="rId8" w:type="first"/>
      <w:headerReference r:id="rId3" w:type="default"/>
      <w:footerReference r:id="rId6" w:type="default"/>
      <w:headerReference r:id="rId4" w:type="even"/>
      <w:footerReference r:id="rId7" w:type="even"/>
      <w:pgSz w:w="11907" w:h="16840"/>
      <w:pgMar w:top="1531" w:right="1418" w:bottom="1418" w:left="1418" w:header="1021" w:footer="907" w:gutter="0"/>
      <w:cols w:space="425"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single" w:color="auto" w:sz="6" w:space="1"/>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E413D3"/>
    <w:multiLevelType w:val="multilevel"/>
    <w:tmpl w:val="32E413D3"/>
    <w:lvl w:ilvl="0" w:tentative="0">
      <w:start w:val="3"/>
      <w:numFmt w:val="japaneseCounting"/>
      <w:lvlText w:val="%1）"/>
      <w:lvlJc w:val="left"/>
      <w:pPr>
        <w:ind w:left="420" w:hanging="420"/>
      </w:pPr>
      <w:rPr>
        <w:rFonts w:hint="default"/>
        <w:b w:val="0"/>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7967BF5"/>
    <w:multiLevelType w:val="multilevel"/>
    <w:tmpl w:val="47967BF5"/>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A602E3"/>
    <w:multiLevelType w:val="multilevel"/>
    <w:tmpl w:val="52A602E3"/>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
    <w:nsid w:val="5CAC6A66"/>
    <w:multiLevelType w:val="multilevel"/>
    <w:tmpl w:val="5CAC6A66"/>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54"/>
    <w:rsid w:val="00000A22"/>
    <w:rsid w:val="000138DD"/>
    <w:rsid w:val="000428DB"/>
    <w:rsid w:val="00063FA7"/>
    <w:rsid w:val="0007291C"/>
    <w:rsid w:val="00084472"/>
    <w:rsid w:val="000F1E0B"/>
    <w:rsid w:val="00167BD4"/>
    <w:rsid w:val="001771E3"/>
    <w:rsid w:val="00201305"/>
    <w:rsid w:val="00224A6D"/>
    <w:rsid w:val="002820E5"/>
    <w:rsid w:val="002905D7"/>
    <w:rsid w:val="002A69C7"/>
    <w:rsid w:val="002F0D48"/>
    <w:rsid w:val="003D0578"/>
    <w:rsid w:val="003D7C12"/>
    <w:rsid w:val="004035C4"/>
    <w:rsid w:val="00460706"/>
    <w:rsid w:val="0046327B"/>
    <w:rsid w:val="004A3AF8"/>
    <w:rsid w:val="004E1AD0"/>
    <w:rsid w:val="005308AE"/>
    <w:rsid w:val="00532D6E"/>
    <w:rsid w:val="00565F9B"/>
    <w:rsid w:val="005912BE"/>
    <w:rsid w:val="005E2664"/>
    <w:rsid w:val="0060078D"/>
    <w:rsid w:val="00606E16"/>
    <w:rsid w:val="00631AE4"/>
    <w:rsid w:val="00664D45"/>
    <w:rsid w:val="006911D0"/>
    <w:rsid w:val="00696707"/>
    <w:rsid w:val="006B4DB7"/>
    <w:rsid w:val="006E727E"/>
    <w:rsid w:val="006F32CA"/>
    <w:rsid w:val="00714303"/>
    <w:rsid w:val="007239B5"/>
    <w:rsid w:val="00747D6D"/>
    <w:rsid w:val="007D4854"/>
    <w:rsid w:val="007D7E83"/>
    <w:rsid w:val="0086408F"/>
    <w:rsid w:val="00885E5D"/>
    <w:rsid w:val="008A4D4F"/>
    <w:rsid w:val="008C6E1C"/>
    <w:rsid w:val="008F7BFF"/>
    <w:rsid w:val="00907A3E"/>
    <w:rsid w:val="0092276A"/>
    <w:rsid w:val="0092656B"/>
    <w:rsid w:val="009574A2"/>
    <w:rsid w:val="00977B5F"/>
    <w:rsid w:val="009B11EA"/>
    <w:rsid w:val="00A04B5D"/>
    <w:rsid w:val="00A13AF5"/>
    <w:rsid w:val="00A63F92"/>
    <w:rsid w:val="00A87A91"/>
    <w:rsid w:val="00A92D36"/>
    <w:rsid w:val="00A9718C"/>
    <w:rsid w:val="00AF2104"/>
    <w:rsid w:val="00B82990"/>
    <w:rsid w:val="00BA114A"/>
    <w:rsid w:val="00BA48EC"/>
    <w:rsid w:val="00C12A1E"/>
    <w:rsid w:val="00C54064"/>
    <w:rsid w:val="00C76A8C"/>
    <w:rsid w:val="00CC1218"/>
    <w:rsid w:val="00CF33F4"/>
    <w:rsid w:val="00D04C3E"/>
    <w:rsid w:val="00D42A9C"/>
    <w:rsid w:val="00D80C94"/>
    <w:rsid w:val="00D85EB7"/>
    <w:rsid w:val="00DF5703"/>
    <w:rsid w:val="00E46D75"/>
    <w:rsid w:val="00E6408E"/>
    <w:rsid w:val="00EB6CBB"/>
    <w:rsid w:val="00FA69C6"/>
    <w:rsid w:val="2145137C"/>
    <w:rsid w:val="27F415B4"/>
    <w:rsid w:val="413C02C2"/>
    <w:rsid w:val="663C510C"/>
    <w:rsid w:val="70D23371"/>
    <w:rsid w:val="749C31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uiPriority w:val="0"/>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uiPriority w:val="99"/>
    <w:rPr>
      <w:kern w:val="2"/>
      <w:sz w:val="18"/>
      <w:szCs w:val="18"/>
    </w:r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cid:image004.jpg@01D62CF3.1D741430" TargetMode="External"/><Relationship Id="rId24" Type="http://schemas.openxmlformats.org/officeDocument/2006/relationships/image" Target="media/image11.jpeg"/><Relationship Id="rId23" Type="http://schemas.openxmlformats.org/officeDocument/2006/relationships/image" Target="cid:image003.jpg@01D62CF3.1D741430" TargetMode="External"/><Relationship Id="rId22" Type="http://schemas.openxmlformats.org/officeDocument/2006/relationships/image" Target="media/image10.jpeg"/><Relationship Id="rId21" Type="http://schemas.openxmlformats.org/officeDocument/2006/relationships/image" Target="cid:image009.jpg@01D62CF3.1D741430" TargetMode="Externa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cid:image010.jpg@01D62CF3.1D741430" TargetMode="External"/><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cosco</Company>
  <Pages>1</Pages>
  <Words>62</Words>
  <Characters>355</Characters>
  <Lines>2</Lines>
  <Paragraphs>1</Paragraphs>
  <TotalTime>0</TotalTime>
  <ScaleCrop>false</ScaleCrop>
  <LinksUpToDate>false</LinksUpToDate>
  <CharactersWithSpaces>416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2019-10-22T06:24:00Z</dcterms:created>
  <dc:creator>F7D32A821A0F8F3648257D5700074049.doc</dc:creator>
  <cp:lastModifiedBy>香雪海er</cp:lastModifiedBy>
  <dcterms:modified xsi:type="dcterms:W3CDTF">2021-09-01T05:54:22Z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3FF7FACBCD96472683BC48DABC01DF18</vt:lpwstr>
  </property>
</Properties>
</file>